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E69C" w14:textId="188F00C5" w:rsidR="00C10859" w:rsidRDefault="00C260B5" w:rsidP="00D12E2D">
      <w:pPr>
        <w:jc w:val="center"/>
        <w:rPr>
          <w:rFonts w:ascii="Times New Roman" w:hAnsi="Times New Roman" w:cs="Times New Roman"/>
          <w:b/>
          <w:bCs/>
          <w:sz w:val="36"/>
          <w:szCs w:val="36"/>
        </w:rPr>
      </w:pPr>
      <w:r w:rsidRPr="00D12E2D">
        <w:rPr>
          <w:rFonts w:ascii="Times New Roman" w:hAnsi="Times New Roman" w:cs="Times New Roman"/>
          <w:b/>
          <w:bCs/>
          <w:sz w:val="36"/>
          <w:szCs w:val="36"/>
        </w:rPr>
        <w:t>Regulamin pracy G</w:t>
      </w:r>
      <w:r w:rsidR="0031724D">
        <w:rPr>
          <w:rFonts w:ascii="Times New Roman" w:hAnsi="Times New Roman" w:cs="Times New Roman"/>
          <w:b/>
          <w:bCs/>
          <w:sz w:val="36"/>
          <w:szCs w:val="36"/>
        </w:rPr>
        <w:t xml:space="preserve">minnej Komisji Rozwiązywania Problemów Alkoholowych </w:t>
      </w:r>
      <w:r w:rsidRPr="00D12E2D">
        <w:rPr>
          <w:rFonts w:ascii="Times New Roman" w:hAnsi="Times New Roman" w:cs="Times New Roman"/>
          <w:b/>
          <w:bCs/>
          <w:sz w:val="36"/>
          <w:szCs w:val="36"/>
        </w:rPr>
        <w:t>w Lubaniu</w:t>
      </w:r>
    </w:p>
    <w:p w14:paraId="64587E39" w14:textId="77777777" w:rsidR="00D12E2D" w:rsidRPr="00D12E2D" w:rsidRDefault="00D12E2D" w:rsidP="00D12E2D">
      <w:pPr>
        <w:jc w:val="center"/>
        <w:rPr>
          <w:rFonts w:ascii="Times New Roman" w:hAnsi="Times New Roman" w:cs="Times New Roman"/>
          <w:b/>
          <w:bCs/>
          <w:sz w:val="36"/>
          <w:szCs w:val="36"/>
        </w:rPr>
      </w:pPr>
    </w:p>
    <w:p w14:paraId="6CF6D5EA" w14:textId="5706F439" w:rsidR="00C260B5" w:rsidRPr="00095414" w:rsidRDefault="00C260B5" w:rsidP="00C260B5">
      <w:pPr>
        <w:jc w:val="center"/>
        <w:rPr>
          <w:rFonts w:ascii="Times New Roman" w:hAnsi="Times New Roman" w:cs="Times New Roman"/>
          <w:b/>
          <w:bCs/>
          <w:sz w:val="24"/>
          <w:szCs w:val="24"/>
        </w:rPr>
      </w:pPr>
      <w:r w:rsidRPr="00095414">
        <w:rPr>
          <w:rFonts w:ascii="Times New Roman" w:hAnsi="Times New Roman" w:cs="Times New Roman"/>
          <w:b/>
          <w:bCs/>
          <w:sz w:val="24"/>
          <w:szCs w:val="24"/>
        </w:rPr>
        <w:t>Postanowienia ogólne</w:t>
      </w:r>
    </w:p>
    <w:p w14:paraId="40D40F71" w14:textId="7D6AB043" w:rsidR="00C260B5" w:rsidRPr="00095414" w:rsidRDefault="00C260B5" w:rsidP="00C260B5">
      <w:pPr>
        <w:jc w:val="center"/>
        <w:rPr>
          <w:rFonts w:ascii="Times New Roman" w:hAnsi="Times New Roman" w:cs="Times New Roman"/>
          <w:b/>
          <w:bCs/>
          <w:sz w:val="24"/>
          <w:szCs w:val="24"/>
        </w:rPr>
      </w:pPr>
      <w:r w:rsidRPr="00095414">
        <w:rPr>
          <w:rFonts w:ascii="Times New Roman" w:hAnsi="Times New Roman" w:cs="Times New Roman"/>
          <w:b/>
          <w:bCs/>
          <w:sz w:val="24"/>
          <w:szCs w:val="24"/>
        </w:rPr>
        <w:t>§1</w:t>
      </w:r>
    </w:p>
    <w:p w14:paraId="1B193B73" w14:textId="156B2732" w:rsidR="00C260B5" w:rsidRPr="00095414" w:rsidRDefault="00C260B5">
      <w:pPr>
        <w:rPr>
          <w:rFonts w:ascii="Times New Roman" w:hAnsi="Times New Roman" w:cs="Times New Roman"/>
          <w:sz w:val="24"/>
          <w:szCs w:val="24"/>
        </w:rPr>
      </w:pPr>
      <w:r w:rsidRPr="00095414">
        <w:rPr>
          <w:rFonts w:ascii="Times New Roman" w:hAnsi="Times New Roman" w:cs="Times New Roman"/>
          <w:sz w:val="24"/>
          <w:szCs w:val="24"/>
        </w:rPr>
        <w:t>Regulamin określa zadania, organizację oraz tryb pracy Gminnej Komisji Rozwiązywania Problemów Alkoholowych w Lubaniu.</w:t>
      </w:r>
    </w:p>
    <w:p w14:paraId="54052751" w14:textId="3684AA60" w:rsidR="00C260B5" w:rsidRPr="00095414" w:rsidRDefault="00C260B5" w:rsidP="00C260B5">
      <w:pPr>
        <w:jc w:val="center"/>
        <w:rPr>
          <w:rFonts w:ascii="Times New Roman" w:hAnsi="Times New Roman" w:cs="Times New Roman"/>
          <w:b/>
          <w:bCs/>
          <w:sz w:val="24"/>
          <w:szCs w:val="24"/>
        </w:rPr>
      </w:pPr>
      <w:r w:rsidRPr="00095414">
        <w:rPr>
          <w:rFonts w:ascii="Times New Roman" w:hAnsi="Times New Roman" w:cs="Times New Roman"/>
          <w:b/>
          <w:bCs/>
          <w:sz w:val="24"/>
          <w:szCs w:val="24"/>
        </w:rPr>
        <w:t>§</w:t>
      </w:r>
      <w:r w:rsidR="00D12E2D">
        <w:rPr>
          <w:rFonts w:ascii="Times New Roman" w:hAnsi="Times New Roman" w:cs="Times New Roman"/>
          <w:b/>
          <w:bCs/>
          <w:sz w:val="24"/>
          <w:szCs w:val="24"/>
        </w:rPr>
        <w:t xml:space="preserve"> </w:t>
      </w:r>
      <w:r w:rsidRPr="00095414">
        <w:rPr>
          <w:rFonts w:ascii="Times New Roman" w:hAnsi="Times New Roman" w:cs="Times New Roman"/>
          <w:b/>
          <w:bCs/>
          <w:sz w:val="24"/>
          <w:szCs w:val="24"/>
        </w:rPr>
        <w:t>2</w:t>
      </w:r>
    </w:p>
    <w:p w14:paraId="362D02F1" w14:textId="320A6659" w:rsidR="00C260B5" w:rsidRPr="00095414" w:rsidRDefault="00C260B5">
      <w:pPr>
        <w:rPr>
          <w:rFonts w:ascii="Times New Roman" w:hAnsi="Times New Roman" w:cs="Times New Roman"/>
          <w:sz w:val="24"/>
          <w:szCs w:val="24"/>
        </w:rPr>
      </w:pPr>
      <w:r w:rsidRPr="00095414">
        <w:rPr>
          <w:rFonts w:ascii="Times New Roman" w:hAnsi="Times New Roman" w:cs="Times New Roman"/>
          <w:sz w:val="24"/>
          <w:szCs w:val="24"/>
        </w:rPr>
        <w:t>Ilekroć w regulaminie mowa jest o:</w:t>
      </w:r>
    </w:p>
    <w:p w14:paraId="07D7D88A" w14:textId="7DAA0BB4" w:rsidR="00C260B5" w:rsidRPr="00095414" w:rsidRDefault="00C260B5" w:rsidP="00C260B5">
      <w:pPr>
        <w:pStyle w:val="Akapitzlist"/>
        <w:numPr>
          <w:ilvl w:val="0"/>
          <w:numId w:val="1"/>
        </w:numPr>
        <w:rPr>
          <w:rFonts w:ascii="Times New Roman" w:hAnsi="Times New Roman" w:cs="Times New Roman"/>
          <w:sz w:val="24"/>
          <w:szCs w:val="24"/>
        </w:rPr>
      </w:pPr>
      <w:r w:rsidRPr="00095414">
        <w:rPr>
          <w:rFonts w:ascii="Times New Roman" w:hAnsi="Times New Roman" w:cs="Times New Roman"/>
          <w:sz w:val="24"/>
          <w:szCs w:val="24"/>
        </w:rPr>
        <w:t>Komisji – oznacza to Gminna Komisje Rozwiązywania Problemów Alkoholowych w</w:t>
      </w:r>
      <w:r w:rsidR="00095414">
        <w:rPr>
          <w:rFonts w:ascii="Times New Roman" w:hAnsi="Times New Roman" w:cs="Times New Roman"/>
          <w:sz w:val="24"/>
          <w:szCs w:val="24"/>
        </w:rPr>
        <w:t> </w:t>
      </w:r>
      <w:r w:rsidRPr="00095414">
        <w:rPr>
          <w:rFonts w:ascii="Times New Roman" w:hAnsi="Times New Roman" w:cs="Times New Roman"/>
          <w:sz w:val="24"/>
          <w:szCs w:val="24"/>
        </w:rPr>
        <w:t>Lubaniu.</w:t>
      </w:r>
    </w:p>
    <w:p w14:paraId="28384DFB" w14:textId="3D191706" w:rsidR="00C260B5" w:rsidRDefault="00C260B5" w:rsidP="00C260B5">
      <w:pPr>
        <w:pStyle w:val="Akapitzlist"/>
        <w:numPr>
          <w:ilvl w:val="0"/>
          <w:numId w:val="1"/>
        </w:numPr>
        <w:rPr>
          <w:rFonts w:ascii="Times New Roman" w:hAnsi="Times New Roman" w:cs="Times New Roman"/>
          <w:sz w:val="24"/>
          <w:szCs w:val="24"/>
        </w:rPr>
      </w:pPr>
      <w:r w:rsidRPr="00095414">
        <w:rPr>
          <w:rFonts w:ascii="Times New Roman" w:hAnsi="Times New Roman" w:cs="Times New Roman"/>
          <w:sz w:val="24"/>
          <w:szCs w:val="24"/>
        </w:rPr>
        <w:t>Przewodniczącym – oznacza to Przewodniczącego Komisji.</w:t>
      </w:r>
    </w:p>
    <w:p w14:paraId="5D5C1661" w14:textId="19539512" w:rsidR="00D950BC" w:rsidRPr="00095414" w:rsidRDefault="00D950BC" w:rsidP="00C260B5">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 xml:space="preserve">Zastępca </w:t>
      </w:r>
      <w:r w:rsidR="00EA12CF">
        <w:rPr>
          <w:rFonts w:ascii="Times New Roman" w:hAnsi="Times New Roman" w:cs="Times New Roman"/>
          <w:sz w:val="24"/>
          <w:szCs w:val="24"/>
        </w:rPr>
        <w:t>Przewodniczącego zastępuje Przewodniczącego podczas jego nieobecnośc</w:t>
      </w:r>
      <w:r w:rsidR="007142FF">
        <w:rPr>
          <w:rFonts w:ascii="Times New Roman" w:hAnsi="Times New Roman" w:cs="Times New Roman"/>
          <w:sz w:val="24"/>
          <w:szCs w:val="24"/>
        </w:rPr>
        <w:t>i.</w:t>
      </w:r>
    </w:p>
    <w:p w14:paraId="06950D29" w14:textId="63608E05" w:rsidR="00C260B5" w:rsidRPr="00095414" w:rsidRDefault="00C260B5" w:rsidP="00C260B5">
      <w:pPr>
        <w:pStyle w:val="Akapitzlist"/>
        <w:numPr>
          <w:ilvl w:val="0"/>
          <w:numId w:val="1"/>
        </w:numPr>
        <w:rPr>
          <w:rFonts w:ascii="Times New Roman" w:hAnsi="Times New Roman" w:cs="Times New Roman"/>
          <w:sz w:val="24"/>
          <w:szCs w:val="24"/>
        </w:rPr>
      </w:pPr>
      <w:r w:rsidRPr="00095414">
        <w:rPr>
          <w:rFonts w:ascii="Times New Roman" w:hAnsi="Times New Roman" w:cs="Times New Roman"/>
          <w:sz w:val="24"/>
          <w:szCs w:val="24"/>
        </w:rPr>
        <w:t>Członkach – oznacza to wszystkie osoby powołane do składu Komisji.</w:t>
      </w:r>
    </w:p>
    <w:p w14:paraId="0A354D1B" w14:textId="261C3832" w:rsidR="00095414" w:rsidRPr="00095414" w:rsidRDefault="00095414" w:rsidP="00C260B5">
      <w:pPr>
        <w:pStyle w:val="Akapitzlist"/>
        <w:numPr>
          <w:ilvl w:val="0"/>
          <w:numId w:val="1"/>
        </w:numPr>
        <w:rPr>
          <w:rFonts w:ascii="Times New Roman" w:hAnsi="Times New Roman" w:cs="Times New Roman"/>
          <w:sz w:val="24"/>
          <w:szCs w:val="24"/>
        </w:rPr>
      </w:pPr>
      <w:r w:rsidRPr="00095414">
        <w:rPr>
          <w:rFonts w:ascii="Times New Roman" w:hAnsi="Times New Roman" w:cs="Times New Roman"/>
          <w:sz w:val="24"/>
          <w:szCs w:val="24"/>
        </w:rPr>
        <w:t>Programem – oznacza to Gminny Program Profilaktyki i Rozwiązywania Problemów Alkoholowych oraz Przeciwdziałania Narkomanii w Gminie Lubań.</w:t>
      </w:r>
    </w:p>
    <w:p w14:paraId="1DB0F9B0" w14:textId="13685608" w:rsidR="00C260B5" w:rsidRPr="00095414" w:rsidRDefault="00C260B5" w:rsidP="00C260B5">
      <w:pPr>
        <w:pStyle w:val="Akapitzlist"/>
        <w:rPr>
          <w:rFonts w:ascii="Times New Roman" w:hAnsi="Times New Roman" w:cs="Times New Roman"/>
          <w:sz w:val="24"/>
          <w:szCs w:val="24"/>
        </w:rPr>
      </w:pPr>
    </w:p>
    <w:p w14:paraId="1A9CFB7B" w14:textId="24B93B2A" w:rsidR="00C260B5" w:rsidRPr="00095414" w:rsidRDefault="00C260B5" w:rsidP="00D12E2D">
      <w:pPr>
        <w:pStyle w:val="Akapitzlist"/>
        <w:ind w:left="360"/>
        <w:jc w:val="both"/>
        <w:rPr>
          <w:rFonts w:ascii="Times New Roman" w:hAnsi="Times New Roman" w:cs="Times New Roman"/>
          <w:sz w:val="24"/>
          <w:szCs w:val="24"/>
        </w:rPr>
      </w:pPr>
    </w:p>
    <w:p w14:paraId="50D0A3B8" w14:textId="6B957ADF" w:rsidR="00095414" w:rsidRPr="00095414" w:rsidRDefault="00C260B5" w:rsidP="00D12E2D">
      <w:pPr>
        <w:pStyle w:val="Akapitzlist"/>
        <w:ind w:left="360"/>
        <w:jc w:val="center"/>
        <w:rPr>
          <w:rFonts w:ascii="Times New Roman" w:hAnsi="Times New Roman" w:cs="Times New Roman"/>
          <w:b/>
          <w:bCs/>
          <w:sz w:val="24"/>
          <w:szCs w:val="24"/>
        </w:rPr>
      </w:pPr>
      <w:r w:rsidRPr="00095414">
        <w:rPr>
          <w:rFonts w:ascii="Times New Roman" w:hAnsi="Times New Roman" w:cs="Times New Roman"/>
          <w:b/>
          <w:bCs/>
          <w:sz w:val="24"/>
          <w:szCs w:val="24"/>
        </w:rPr>
        <w:t>§3</w:t>
      </w:r>
    </w:p>
    <w:p w14:paraId="57CC792E" w14:textId="7B0D1BA3" w:rsidR="00C260B5" w:rsidRPr="00095414" w:rsidRDefault="00C260B5" w:rsidP="00D12E2D">
      <w:pPr>
        <w:pStyle w:val="Akapitzlist"/>
        <w:ind w:left="360"/>
        <w:jc w:val="both"/>
        <w:rPr>
          <w:rFonts w:ascii="Times New Roman" w:hAnsi="Times New Roman" w:cs="Times New Roman"/>
          <w:sz w:val="24"/>
          <w:szCs w:val="24"/>
        </w:rPr>
      </w:pPr>
      <w:r w:rsidRPr="00095414">
        <w:rPr>
          <w:rFonts w:ascii="Times New Roman" w:hAnsi="Times New Roman" w:cs="Times New Roman"/>
          <w:sz w:val="24"/>
          <w:szCs w:val="24"/>
        </w:rPr>
        <w:t>Komisja działa na podstawie:</w:t>
      </w:r>
    </w:p>
    <w:p w14:paraId="40EA30CE" w14:textId="77777777" w:rsidR="00095414" w:rsidRPr="00095414" w:rsidRDefault="00095414" w:rsidP="00D12E2D">
      <w:pPr>
        <w:pStyle w:val="Akapitzlist"/>
        <w:ind w:left="0"/>
        <w:jc w:val="both"/>
        <w:rPr>
          <w:rFonts w:ascii="Times New Roman" w:hAnsi="Times New Roman" w:cs="Times New Roman"/>
          <w:sz w:val="24"/>
          <w:szCs w:val="24"/>
        </w:rPr>
      </w:pPr>
    </w:p>
    <w:p w14:paraId="30D57D53" w14:textId="643E2F87" w:rsidR="00C260B5" w:rsidRPr="00095414" w:rsidRDefault="00C260B5" w:rsidP="00D12E2D">
      <w:pPr>
        <w:pStyle w:val="Akapitzlist"/>
        <w:numPr>
          <w:ilvl w:val="0"/>
          <w:numId w:val="5"/>
        </w:numPr>
        <w:ind w:left="360"/>
        <w:jc w:val="both"/>
        <w:rPr>
          <w:rFonts w:ascii="Times New Roman" w:hAnsi="Times New Roman" w:cs="Times New Roman"/>
          <w:sz w:val="24"/>
          <w:szCs w:val="24"/>
        </w:rPr>
      </w:pPr>
      <w:bookmarkStart w:id="0" w:name="_Hlk170200925"/>
      <w:r w:rsidRPr="00095414">
        <w:rPr>
          <w:rFonts w:ascii="Times New Roman" w:hAnsi="Times New Roman" w:cs="Times New Roman"/>
          <w:sz w:val="24"/>
          <w:szCs w:val="24"/>
        </w:rPr>
        <w:t>Ustawy</w:t>
      </w:r>
      <w:r w:rsidR="000811A0">
        <w:rPr>
          <w:rFonts w:ascii="Times New Roman" w:hAnsi="Times New Roman" w:cs="Times New Roman"/>
          <w:sz w:val="24"/>
          <w:szCs w:val="24"/>
        </w:rPr>
        <w:t xml:space="preserve"> z dnia 26 października 1982 r.</w:t>
      </w:r>
      <w:r w:rsidRPr="00095414">
        <w:rPr>
          <w:rFonts w:ascii="Times New Roman" w:hAnsi="Times New Roman" w:cs="Times New Roman"/>
          <w:sz w:val="24"/>
          <w:szCs w:val="24"/>
        </w:rPr>
        <w:t xml:space="preserve"> o wychowaniu w trzeźwości i przeciwdziałaniu alkoholizmowi oraz przepisów wykonawczych do</w:t>
      </w:r>
      <w:r w:rsidR="000811A0">
        <w:rPr>
          <w:rFonts w:ascii="Times New Roman" w:hAnsi="Times New Roman" w:cs="Times New Roman"/>
          <w:sz w:val="24"/>
          <w:szCs w:val="24"/>
        </w:rPr>
        <w:t xml:space="preserve"> tej u</w:t>
      </w:r>
      <w:r w:rsidRPr="00095414">
        <w:rPr>
          <w:rFonts w:ascii="Times New Roman" w:hAnsi="Times New Roman" w:cs="Times New Roman"/>
          <w:sz w:val="24"/>
          <w:szCs w:val="24"/>
        </w:rPr>
        <w:t>stawy;</w:t>
      </w:r>
    </w:p>
    <w:bookmarkEnd w:id="0"/>
    <w:p w14:paraId="5B23DB1F" w14:textId="7B399852" w:rsidR="00C260B5" w:rsidRPr="00095414" w:rsidRDefault="00095414" w:rsidP="00D12E2D">
      <w:pPr>
        <w:pStyle w:val="Akapitzlist"/>
        <w:numPr>
          <w:ilvl w:val="0"/>
          <w:numId w:val="5"/>
        </w:numPr>
        <w:ind w:left="360"/>
        <w:jc w:val="both"/>
        <w:rPr>
          <w:rFonts w:ascii="Times New Roman" w:hAnsi="Times New Roman" w:cs="Times New Roman"/>
          <w:sz w:val="24"/>
          <w:szCs w:val="24"/>
        </w:rPr>
      </w:pPr>
      <w:r w:rsidRPr="00095414">
        <w:rPr>
          <w:rFonts w:ascii="Times New Roman" w:hAnsi="Times New Roman" w:cs="Times New Roman"/>
          <w:sz w:val="24"/>
          <w:szCs w:val="24"/>
        </w:rPr>
        <w:t xml:space="preserve">Ustawy </w:t>
      </w:r>
      <w:r w:rsidR="000811A0">
        <w:rPr>
          <w:rFonts w:ascii="Times New Roman" w:hAnsi="Times New Roman" w:cs="Times New Roman"/>
          <w:sz w:val="24"/>
          <w:szCs w:val="24"/>
        </w:rPr>
        <w:t xml:space="preserve">z dnia 29 lipca 2005 r. </w:t>
      </w:r>
      <w:r w:rsidRPr="00095414">
        <w:rPr>
          <w:rFonts w:ascii="Times New Roman" w:hAnsi="Times New Roman" w:cs="Times New Roman"/>
          <w:sz w:val="24"/>
          <w:szCs w:val="24"/>
        </w:rPr>
        <w:t xml:space="preserve">o przeciwdziałaniu przemocy </w:t>
      </w:r>
      <w:r w:rsidR="000811A0">
        <w:rPr>
          <w:rFonts w:ascii="Times New Roman" w:hAnsi="Times New Roman" w:cs="Times New Roman"/>
          <w:sz w:val="24"/>
          <w:szCs w:val="24"/>
        </w:rPr>
        <w:t xml:space="preserve">domowej </w:t>
      </w:r>
      <w:r w:rsidRPr="00095414">
        <w:rPr>
          <w:rFonts w:ascii="Times New Roman" w:hAnsi="Times New Roman" w:cs="Times New Roman"/>
          <w:sz w:val="24"/>
          <w:szCs w:val="24"/>
        </w:rPr>
        <w:t>oraz przepisów wykonawczych do</w:t>
      </w:r>
      <w:r w:rsidR="000811A0">
        <w:rPr>
          <w:rFonts w:ascii="Times New Roman" w:hAnsi="Times New Roman" w:cs="Times New Roman"/>
          <w:sz w:val="24"/>
          <w:szCs w:val="24"/>
        </w:rPr>
        <w:t xml:space="preserve"> tej u</w:t>
      </w:r>
      <w:r w:rsidRPr="00095414">
        <w:rPr>
          <w:rFonts w:ascii="Times New Roman" w:hAnsi="Times New Roman" w:cs="Times New Roman"/>
          <w:sz w:val="24"/>
          <w:szCs w:val="24"/>
        </w:rPr>
        <w:t>stawy.</w:t>
      </w:r>
    </w:p>
    <w:p w14:paraId="624BFECC" w14:textId="0045EA29" w:rsidR="00095414" w:rsidRPr="00095414" w:rsidRDefault="000811A0" w:rsidP="00D12E2D">
      <w:pPr>
        <w:pStyle w:val="Akapitzlist"/>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Gminnego Programu Profilaktyki i Rozwiązywania Problemów Alkoholowych oraz Przeciwdziałania Narkomanii dla Gminy Lubań</w:t>
      </w:r>
      <w:r w:rsidR="00095414" w:rsidRPr="00095414">
        <w:rPr>
          <w:rFonts w:ascii="Times New Roman" w:hAnsi="Times New Roman" w:cs="Times New Roman"/>
          <w:sz w:val="24"/>
          <w:szCs w:val="24"/>
        </w:rPr>
        <w:t>.</w:t>
      </w:r>
    </w:p>
    <w:p w14:paraId="60974179" w14:textId="02887739" w:rsidR="00095414" w:rsidRDefault="00095414" w:rsidP="00D12E2D">
      <w:pPr>
        <w:pStyle w:val="Akapitzlist"/>
        <w:numPr>
          <w:ilvl w:val="0"/>
          <w:numId w:val="5"/>
        </w:numPr>
        <w:ind w:left="360"/>
        <w:jc w:val="both"/>
        <w:rPr>
          <w:rFonts w:ascii="Times New Roman" w:hAnsi="Times New Roman" w:cs="Times New Roman"/>
          <w:sz w:val="24"/>
          <w:szCs w:val="24"/>
        </w:rPr>
      </w:pPr>
      <w:r w:rsidRPr="00095414">
        <w:rPr>
          <w:rFonts w:ascii="Times New Roman" w:hAnsi="Times New Roman" w:cs="Times New Roman"/>
          <w:sz w:val="24"/>
          <w:szCs w:val="24"/>
        </w:rPr>
        <w:t>Niniejszego Regulaminu.</w:t>
      </w:r>
    </w:p>
    <w:p w14:paraId="6EF75E42" w14:textId="38FEBE2E" w:rsidR="000811A0" w:rsidRPr="00095414" w:rsidRDefault="00145B7E" w:rsidP="000811A0">
      <w:pPr>
        <w:pStyle w:val="Akapitzlist"/>
        <w:numPr>
          <w:ilvl w:val="0"/>
          <w:numId w:val="5"/>
        </w:numPr>
        <w:ind w:left="360"/>
        <w:jc w:val="both"/>
        <w:rPr>
          <w:rFonts w:ascii="Times New Roman" w:hAnsi="Times New Roman" w:cs="Times New Roman"/>
          <w:sz w:val="24"/>
          <w:szCs w:val="24"/>
        </w:rPr>
      </w:pPr>
      <w:r>
        <w:rPr>
          <w:rFonts w:ascii="Times New Roman" w:hAnsi="Times New Roman" w:cs="Times New Roman"/>
          <w:sz w:val="24"/>
          <w:szCs w:val="24"/>
        </w:rPr>
        <w:t>Komisja działa kolegialnie, oznacza to, że wszyscy jej członkowie są uprawnieni do podejmowania czynności określonych w ustawie</w:t>
      </w:r>
      <w:r w:rsidR="000811A0">
        <w:rPr>
          <w:rFonts w:ascii="Times New Roman" w:hAnsi="Times New Roman" w:cs="Times New Roman"/>
          <w:sz w:val="24"/>
          <w:szCs w:val="24"/>
        </w:rPr>
        <w:t xml:space="preserve"> z dnia 26 października 1982 r.</w:t>
      </w:r>
      <w:r w:rsidR="000811A0" w:rsidRPr="00095414">
        <w:rPr>
          <w:rFonts w:ascii="Times New Roman" w:hAnsi="Times New Roman" w:cs="Times New Roman"/>
          <w:sz w:val="24"/>
          <w:szCs w:val="24"/>
        </w:rPr>
        <w:t xml:space="preserve"> o</w:t>
      </w:r>
      <w:r w:rsidR="000811A0">
        <w:rPr>
          <w:rFonts w:ascii="Times New Roman" w:hAnsi="Times New Roman" w:cs="Times New Roman"/>
          <w:sz w:val="24"/>
          <w:szCs w:val="24"/>
        </w:rPr>
        <w:t> </w:t>
      </w:r>
      <w:r w:rsidR="000811A0" w:rsidRPr="00095414">
        <w:rPr>
          <w:rFonts w:ascii="Times New Roman" w:hAnsi="Times New Roman" w:cs="Times New Roman"/>
          <w:sz w:val="24"/>
          <w:szCs w:val="24"/>
        </w:rPr>
        <w:t>wychowaniu w trzeźwości i przeciwdziałaniu alkoholizmowi</w:t>
      </w:r>
      <w:r w:rsidR="000811A0">
        <w:rPr>
          <w:rFonts w:ascii="Times New Roman" w:hAnsi="Times New Roman" w:cs="Times New Roman"/>
          <w:sz w:val="24"/>
          <w:szCs w:val="24"/>
        </w:rPr>
        <w:t>.</w:t>
      </w:r>
    </w:p>
    <w:p w14:paraId="48528326" w14:textId="22E7ED42" w:rsidR="00145B7E" w:rsidRPr="00095414" w:rsidRDefault="00145B7E" w:rsidP="000811A0">
      <w:pPr>
        <w:pStyle w:val="Akapitzlist"/>
        <w:ind w:left="0"/>
        <w:jc w:val="both"/>
        <w:rPr>
          <w:rFonts w:ascii="Times New Roman" w:hAnsi="Times New Roman" w:cs="Times New Roman"/>
          <w:sz w:val="24"/>
          <w:szCs w:val="24"/>
        </w:rPr>
      </w:pPr>
    </w:p>
    <w:p w14:paraId="747F3BB4" w14:textId="77777777" w:rsidR="00095414" w:rsidRPr="00095414" w:rsidRDefault="00095414" w:rsidP="00095414">
      <w:pPr>
        <w:pStyle w:val="Akapitzlist"/>
        <w:ind w:left="360"/>
        <w:rPr>
          <w:rFonts w:ascii="Times New Roman" w:hAnsi="Times New Roman" w:cs="Times New Roman"/>
          <w:sz w:val="24"/>
          <w:szCs w:val="24"/>
        </w:rPr>
      </w:pPr>
    </w:p>
    <w:p w14:paraId="7CFA7ECB" w14:textId="6097AB3B" w:rsidR="00095414" w:rsidRDefault="00095414" w:rsidP="00D12E2D">
      <w:pPr>
        <w:pStyle w:val="Akapitzlist"/>
        <w:jc w:val="center"/>
        <w:rPr>
          <w:rFonts w:ascii="Times New Roman" w:hAnsi="Times New Roman" w:cs="Times New Roman"/>
          <w:b/>
          <w:bCs/>
          <w:sz w:val="24"/>
          <w:szCs w:val="24"/>
        </w:rPr>
      </w:pPr>
      <w:r w:rsidRPr="00095414">
        <w:rPr>
          <w:rFonts w:ascii="Times New Roman" w:hAnsi="Times New Roman" w:cs="Times New Roman"/>
          <w:b/>
          <w:bCs/>
          <w:sz w:val="24"/>
          <w:szCs w:val="24"/>
        </w:rPr>
        <w:t>§</w:t>
      </w:r>
      <w:r w:rsidR="00FD5738">
        <w:rPr>
          <w:rFonts w:ascii="Times New Roman" w:hAnsi="Times New Roman" w:cs="Times New Roman"/>
          <w:b/>
          <w:bCs/>
          <w:sz w:val="24"/>
          <w:szCs w:val="24"/>
        </w:rPr>
        <w:t>4</w:t>
      </w:r>
    </w:p>
    <w:p w14:paraId="0E5A4B01" w14:textId="77777777" w:rsidR="00095414" w:rsidRPr="00095414" w:rsidRDefault="00095414" w:rsidP="00D12E2D">
      <w:pPr>
        <w:pStyle w:val="Akapitzlist"/>
        <w:jc w:val="center"/>
        <w:rPr>
          <w:rFonts w:ascii="Times New Roman" w:hAnsi="Times New Roman" w:cs="Times New Roman"/>
          <w:b/>
          <w:bCs/>
          <w:sz w:val="24"/>
          <w:szCs w:val="24"/>
        </w:rPr>
      </w:pPr>
    </w:p>
    <w:p w14:paraId="4E6B25D7" w14:textId="41586D51" w:rsidR="00095414" w:rsidRPr="00095414" w:rsidRDefault="00095414" w:rsidP="00D12E2D">
      <w:pPr>
        <w:pStyle w:val="Akapitzlist"/>
        <w:numPr>
          <w:ilvl w:val="0"/>
          <w:numId w:val="10"/>
        </w:numPr>
        <w:ind w:left="360"/>
        <w:rPr>
          <w:rFonts w:ascii="Times New Roman" w:hAnsi="Times New Roman" w:cs="Times New Roman"/>
          <w:sz w:val="24"/>
          <w:szCs w:val="24"/>
        </w:rPr>
      </w:pPr>
      <w:r w:rsidRPr="00095414">
        <w:rPr>
          <w:rFonts w:ascii="Times New Roman" w:hAnsi="Times New Roman" w:cs="Times New Roman"/>
          <w:sz w:val="24"/>
          <w:szCs w:val="24"/>
        </w:rPr>
        <w:t>Komisja swoj</w:t>
      </w:r>
      <w:r w:rsidR="00FD5738">
        <w:rPr>
          <w:rFonts w:ascii="Times New Roman" w:hAnsi="Times New Roman" w:cs="Times New Roman"/>
          <w:sz w:val="24"/>
          <w:szCs w:val="24"/>
        </w:rPr>
        <w:t>ą</w:t>
      </w:r>
      <w:r w:rsidRPr="00095414">
        <w:rPr>
          <w:rFonts w:ascii="Times New Roman" w:hAnsi="Times New Roman" w:cs="Times New Roman"/>
          <w:sz w:val="24"/>
          <w:szCs w:val="24"/>
        </w:rPr>
        <w:t xml:space="preserve"> działalnością obejmuje teren Gminy Lubań.</w:t>
      </w:r>
    </w:p>
    <w:p w14:paraId="536FCE2C" w14:textId="6025D9A8" w:rsidR="00095414" w:rsidRDefault="00095414" w:rsidP="00D12E2D">
      <w:pPr>
        <w:pStyle w:val="Akapitzlist"/>
        <w:numPr>
          <w:ilvl w:val="0"/>
          <w:numId w:val="10"/>
        </w:numPr>
        <w:ind w:left="360"/>
        <w:rPr>
          <w:rFonts w:ascii="Times New Roman" w:hAnsi="Times New Roman" w:cs="Times New Roman"/>
          <w:sz w:val="24"/>
          <w:szCs w:val="24"/>
        </w:rPr>
      </w:pPr>
      <w:r w:rsidRPr="00095414">
        <w:rPr>
          <w:rFonts w:ascii="Times New Roman" w:hAnsi="Times New Roman" w:cs="Times New Roman"/>
          <w:sz w:val="24"/>
          <w:szCs w:val="24"/>
        </w:rPr>
        <w:t>Siedziba Komisji znajduje się w Lubaniu przy ul. Dąbrowskiego 18; 59-800 Lubań.</w:t>
      </w:r>
    </w:p>
    <w:p w14:paraId="3A72CFFE" w14:textId="13FE309A" w:rsidR="00D950BC" w:rsidRDefault="00D950BC" w:rsidP="00D12E2D">
      <w:pPr>
        <w:pStyle w:val="Akapitzlist"/>
        <w:numPr>
          <w:ilvl w:val="0"/>
          <w:numId w:val="10"/>
        </w:numPr>
        <w:ind w:left="360"/>
        <w:rPr>
          <w:rFonts w:ascii="Times New Roman" w:hAnsi="Times New Roman" w:cs="Times New Roman"/>
          <w:sz w:val="24"/>
          <w:szCs w:val="24"/>
        </w:rPr>
      </w:pPr>
      <w:r>
        <w:rPr>
          <w:rFonts w:ascii="Times New Roman" w:hAnsi="Times New Roman" w:cs="Times New Roman"/>
          <w:sz w:val="24"/>
          <w:szCs w:val="24"/>
        </w:rPr>
        <w:t>Komisja obraduje na posiedzeniach zwołanych przez przewodniczącego komisji w</w:t>
      </w:r>
      <w:r w:rsidR="00FD5738">
        <w:rPr>
          <w:rFonts w:ascii="Times New Roman" w:hAnsi="Times New Roman" w:cs="Times New Roman"/>
          <w:sz w:val="24"/>
          <w:szCs w:val="24"/>
        </w:rPr>
        <w:t> </w:t>
      </w:r>
      <w:r>
        <w:rPr>
          <w:rFonts w:ascii="Times New Roman" w:hAnsi="Times New Roman" w:cs="Times New Roman"/>
          <w:sz w:val="24"/>
          <w:szCs w:val="24"/>
        </w:rPr>
        <w:t>całym składzie lub w podzespołach komisji w zależności od potrzeb.</w:t>
      </w:r>
    </w:p>
    <w:p w14:paraId="0250751F" w14:textId="14E3C15F" w:rsidR="00D950BC" w:rsidRDefault="000D6445" w:rsidP="00D12E2D">
      <w:pPr>
        <w:pStyle w:val="Akapitzlist"/>
        <w:numPr>
          <w:ilvl w:val="0"/>
          <w:numId w:val="10"/>
        </w:numPr>
        <w:ind w:left="360"/>
        <w:rPr>
          <w:rFonts w:ascii="Times New Roman" w:hAnsi="Times New Roman" w:cs="Times New Roman"/>
          <w:sz w:val="24"/>
          <w:szCs w:val="24"/>
        </w:rPr>
      </w:pPr>
      <w:r>
        <w:rPr>
          <w:rFonts w:ascii="Times New Roman" w:hAnsi="Times New Roman" w:cs="Times New Roman"/>
          <w:sz w:val="24"/>
          <w:szCs w:val="24"/>
        </w:rPr>
        <w:lastRenderedPageBreak/>
        <w:t>Posiedzenia Komisji odbywają się po godzinach pracy pracowników Urzędu Gminy Lubań oraz pracowników jednostek organizacyjnych.</w:t>
      </w:r>
      <w:r w:rsidR="0031724D">
        <w:rPr>
          <w:rFonts w:ascii="Times New Roman" w:hAnsi="Times New Roman" w:cs="Times New Roman"/>
          <w:sz w:val="24"/>
          <w:szCs w:val="24"/>
        </w:rPr>
        <w:t xml:space="preserve"> Dopuszcza się sytuacje, że posiedzenia rozpoczynają się wcześniej.</w:t>
      </w:r>
    </w:p>
    <w:p w14:paraId="4286F5E5" w14:textId="10B2522C" w:rsidR="00FA4FBC" w:rsidRDefault="00FA4FBC" w:rsidP="00D12E2D">
      <w:pPr>
        <w:pStyle w:val="Akapitzlist"/>
        <w:numPr>
          <w:ilvl w:val="0"/>
          <w:numId w:val="10"/>
        </w:numPr>
        <w:ind w:left="360"/>
        <w:rPr>
          <w:rFonts w:ascii="Times New Roman" w:hAnsi="Times New Roman" w:cs="Times New Roman"/>
          <w:sz w:val="24"/>
          <w:szCs w:val="24"/>
        </w:rPr>
      </w:pPr>
      <w:r>
        <w:rPr>
          <w:rFonts w:ascii="Times New Roman" w:hAnsi="Times New Roman" w:cs="Times New Roman"/>
          <w:sz w:val="24"/>
          <w:szCs w:val="24"/>
        </w:rPr>
        <w:t>Osoby wchodzące w skład GKRPA muszą posiadać odpowiednie przeszkolenie z zakresu profilaktyki i rozwiązywania problemów alkoholowych</w:t>
      </w:r>
      <w:r w:rsidR="00685D5A">
        <w:rPr>
          <w:rFonts w:ascii="Times New Roman" w:hAnsi="Times New Roman" w:cs="Times New Roman"/>
          <w:sz w:val="24"/>
          <w:szCs w:val="24"/>
        </w:rPr>
        <w:t>.</w:t>
      </w:r>
    </w:p>
    <w:p w14:paraId="6B5E1281" w14:textId="7CD9D7CF" w:rsidR="00685D5A" w:rsidRDefault="00685D5A" w:rsidP="00D12E2D">
      <w:pPr>
        <w:pStyle w:val="Akapitzlist"/>
        <w:numPr>
          <w:ilvl w:val="0"/>
          <w:numId w:val="10"/>
        </w:numPr>
        <w:ind w:left="360"/>
        <w:rPr>
          <w:rFonts w:ascii="Times New Roman" w:hAnsi="Times New Roman" w:cs="Times New Roman"/>
          <w:sz w:val="24"/>
          <w:szCs w:val="24"/>
        </w:rPr>
      </w:pPr>
      <w:r>
        <w:rPr>
          <w:rFonts w:ascii="Times New Roman" w:hAnsi="Times New Roman" w:cs="Times New Roman"/>
          <w:sz w:val="24"/>
          <w:szCs w:val="24"/>
        </w:rPr>
        <w:t xml:space="preserve">Wszyscy członkowie Komisji, niezależnie jakie zawody reprezentują, powinny posiadać przynajmniej podstawowy poziom interdyscyplinarnej wiedzy z zakresu zadań, którymi się zajmują. </w:t>
      </w:r>
    </w:p>
    <w:p w14:paraId="45DC49C1" w14:textId="42E32DBC" w:rsidR="00685D5A" w:rsidRDefault="00685D5A" w:rsidP="00D12E2D">
      <w:pPr>
        <w:pStyle w:val="Akapitzlist"/>
        <w:numPr>
          <w:ilvl w:val="0"/>
          <w:numId w:val="10"/>
        </w:numPr>
        <w:ind w:left="360"/>
        <w:rPr>
          <w:rFonts w:ascii="Times New Roman" w:hAnsi="Times New Roman" w:cs="Times New Roman"/>
          <w:sz w:val="24"/>
          <w:szCs w:val="24"/>
        </w:rPr>
      </w:pPr>
      <w:r>
        <w:rPr>
          <w:rFonts w:ascii="Times New Roman" w:hAnsi="Times New Roman" w:cs="Times New Roman"/>
          <w:sz w:val="24"/>
          <w:szCs w:val="24"/>
        </w:rPr>
        <w:t>GKRPA może uczestniczyć w inicjowaniu zadań własnych gmin w zakresie profilaktyki i</w:t>
      </w:r>
      <w:r w:rsidR="00D12E2D">
        <w:rPr>
          <w:rFonts w:ascii="Times New Roman" w:hAnsi="Times New Roman" w:cs="Times New Roman"/>
          <w:sz w:val="24"/>
          <w:szCs w:val="24"/>
        </w:rPr>
        <w:t> </w:t>
      </w:r>
      <w:r>
        <w:rPr>
          <w:rFonts w:ascii="Times New Roman" w:hAnsi="Times New Roman" w:cs="Times New Roman"/>
          <w:sz w:val="24"/>
          <w:szCs w:val="24"/>
        </w:rPr>
        <w:t xml:space="preserve">rozwiązywania problemów alkoholowych oraz przeciwdziałaniu narkomanii określonych w art. 4¹ ustawy o wychowaniu w trzeźwości i przeciwdziałaniu alkoholizmowi oraz art. 10.1 ustawy o przeciwdziałaniu narkomanii. </w:t>
      </w:r>
    </w:p>
    <w:p w14:paraId="1221906D" w14:textId="2CAE6FB4" w:rsidR="001272E8" w:rsidRDefault="001272E8" w:rsidP="00095414">
      <w:pPr>
        <w:pStyle w:val="Akapitzlist"/>
        <w:ind w:left="0"/>
        <w:rPr>
          <w:rFonts w:ascii="Times New Roman" w:hAnsi="Times New Roman" w:cs="Times New Roman"/>
          <w:sz w:val="24"/>
          <w:szCs w:val="24"/>
        </w:rPr>
      </w:pPr>
    </w:p>
    <w:p w14:paraId="3B001885" w14:textId="0DB96EC7" w:rsidR="001272E8" w:rsidRDefault="001272E8" w:rsidP="00095414">
      <w:pPr>
        <w:pStyle w:val="Akapitzlist"/>
        <w:ind w:left="0"/>
        <w:rPr>
          <w:rFonts w:ascii="Times New Roman" w:hAnsi="Times New Roman" w:cs="Times New Roman"/>
          <w:sz w:val="24"/>
          <w:szCs w:val="24"/>
        </w:rPr>
      </w:pPr>
    </w:p>
    <w:p w14:paraId="3E84724C" w14:textId="31EF4D77" w:rsidR="001272E8" w:rsidRDefault="00FC3E65" w:rsidP="006B680D">
      <w:pPr>
        <w:pStyle w:val="Akapitzlist"/>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B8D8F14" w14:textId="77777777" w:rsidR="001272E8" w:rsidRDefault="001272E8" w:rsidP="006B680D">
      <w:pPr>
        <w:pStyle w:val="Akapitzlist"/>
        <w:ind w:left="0"/>
        <w:jc w:val="center"/>
        <w:rPr>
          <w:rFonts w:ascii="Times New Roman" w:hAnsi="Times New Roman" w:cs="Times New Roman"/>
          <w:b/>
          <w:bCs/>
          <w:sz w:val="24"/>
          <w:szCs w:val="24"/>
        </w:rPr>
      </w:pPr>
      <w:r>
        <w:rPr>
          <w:rFonts w:ascii="Times New Roman" w:hAnsi="Times New Roman" w:cs="Times New Roman"/>
          <w:b/>
          <w:bCs/>
          <w:sz w:val="24"/>
          <w:szCs w:val="24"/>
        </w:rPr>
        <w:t>Przetwarzanie danych przez gminną komisję</w:t>
      </w:r>
      <w:r w:rsidR="00FC3E65">
        <w:rPr>
          <w:rFonts w:ascii="Times New Roman" w:hAnsi="Times New Roman" w:cs="Times New Roman"/>
          <w:b/>
          <w:bCs/>
          <w:sz w:val="24"/>
          <w:szCs w:val="24"/>
        </w:rPr>
        <w:t xml:space="preserve">  </w:t>
      </w:r>
    </w:p>
    <w:p w14:paraId="7A228F55" w14:textId="77777777" w:rsidR="00FD5738" w:rsidRDefault="00FD5738" w:rsidP="006B680D">
      <w:pPr>
        <w:pStyle w:val="Akapitzlist"/>
        <w:ind w:left="0"/>
        <w:jc w:val="center"/>
        <w:rPr>
          <w:rFonts w:ascii="Times New Roman" w:hAnsi="Times New Roman" w:cs="Times New Roman"/>
          <w:b/>
          <w:bCs/>
          <w:sz w:val="24"/>
          <w:szCs w:val="24"/>
        </w:rPr>
      </w:pPr>
    </w:p>
    <w:p w14:paraId="71FD83AA" w14:textId="58C9AAA5" w:rsidR="00FD5738" w:rsidRDefault="00FD5738" w:rsidP="00FD5738">
      <w:pPr>
        <w:pStyle w:val="Akapitzlist"/>
        <w:ind w:left="0"/>
        <w:rPr>
          <w:rFonts w:ascii="Times New Roman" w:hAnsi="Times New Roman" w:cs="Times New Roman"/>
          <w:b/>
          <w:bCs/>
          <w:sz w:val="24"/>
          <w:szCs w:val="24"/>
        </w:rPr>
      </w:pPr>
      <w:r>
        <w:rPr>
          <w:rFonts w:ascii="Times New Roman" w:hAnsi="Times New Roman" w:cs="Times New Roman"/>
          <w:b/>
          <w:bCs/>
          <w:sz w:val="24"/>
          <w:szCs w:val="24"/>
        </w:rPr>
        <w:t>Podstawy prawne:</w:t>
      </w:r>
    </w:p>
    <w:p w14:paraId="55217776" w14:textId="77777777" w:rsidR="00FD5738" w:rsidRPr="006B680D" w:rsidRDefault="00FD5738" w:rsidP="00FD5738">
      <w:pPr>
        <w:pStyle w:val="Akapitzlist"/>
        <w:ind w:left="0"/>
        <w:rPr>
          <w:rFonts w:ascii="Times New Roman" w:hAnsi="Times New Roman" w:cs="Times New Roman"/>
          <w:b/>
          <w:bCs/>
          <w:sz w:val="24"/>
          <w:szCs w:val="24"/>
        </w:rPr>
      </w:pPr>
    </w:p>
    <w:p w14:paraId="6D0450D9" w14:textId="44067E10" w:rsidR="008B45AA" w:rsidRDefault="00933D48" w:rsidP="00FD5738">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 xml:space="preserve">W oparciu o </w:t>
      </w:r>
      <w:r w:rsidR="008B45AA">
        <w:rPr>
          <w:rFonts w:ascii="Times New Roman" w:hAnsi="Times New Roman" w:cs="Times New Roman"/>
          <w:sz w:val="24"/>
          <w:szCs w:val="24"/>
        </w:rPr>
        <w:t>z art. 25 a ustawy o wychowaniu w trzeźwości   i przeciwdziałaniu alkoholizmowi</w:t>
      </w:r>
      <w:r>
        <w:rPr>
          <w:rFonts w:ascii="Times New Roman" w:hAnsi="Times New Roman" w:cs="Times New Roman"/>
          <w:sz w:val="24"/>
          <w:szCs w:val="24"/>
        </w:rPr>
        <w:t xml:space="preserve">. </w:t>
      </w:r>
    </w:p>
    <w:p w14:paraId="03D454EA" w14:textId="007E099F" w:rsidR="006B680D" w:rsidRDefault="006B680D" w:rsidP="00933D48">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 xml:space="preserve">Członkowie GKRPA, w zakresie niezbędnym do realizacji zadań </w:t>
      </w:r>
      <w:r w:rsidR="008B45AA">
        <w:rPr>
          <w:rFonts w:ascii="Times New Roman" w:hAnsi="Times New Roman" w:cs="Times New Roman"/>
          <w:sz w:val="24"/>
          <w:szCs w:val="24"/>
        </w:rPr>
        <w:t>związanych z</w:t>
      </w:r>
      <w:r w:rsidR="002B1456">
        <w:rPr>
          <w:rFonts w:ascii="Times New Roman" w:hAnsi="Times New Roman" w:cs="Times New Roman"/>
          <w:sz w:val="24"/>
          <w:szCs w:val="24"/>
        </w:rPr>
        <w:t> </w:t>
      </w:r>
      <w:r w:rsidR="008B45AA">
        <w:rPr>
          <w:rFonts w:ascii="Times New Roman" w:hAnsi="Times New Roman" w:cs="Times New Roman"/>
          <w:sz w:val="24"/>
          <w:szCs w:val="24"/>
        </w:rPr>
        <w:t>procedurą zobowiązania do poddania się leczeniu odwykowemu, mogą przetwarzać informacje o osobach zobowiązanych bez zgody i wiedzy tych osób, oraz członków rodzin osób zobowiązanych w</w:t>
      </w:r>
      <w:r w:rsidR="00943E85">
        <w:rPr>
          <w:rFonts w:ascii="Times New Roman" w:hAnsi="Times New Roman" w:cs="Times New Roman"/>
          <w:sz w:val="24"/>
          <w:szCs w:val="24"/>
        </w:rPr>
        <w:t> </w:t>
      </w:r>
      <w:r w:rsidR="008B45AA">
        <w:rPr>
          <w:rFonts w:ascii="Times New Roman" w:hAnsi="Times New Roman" w:cs="Times New Roman"/>
          <w:sz w:val="24"/>
          <w:szCs w:val="24"/>
        </w:rPr>
        <w:t>zakresie określonym w tym przepisie.</w:t>
      </w:r>
    </w:p>
    <w:p w14:paraId="5AFB8EA6" w14:textId="0F62A06B" w:rsidR="00FC3E65" w:rsidRDefault="00FC3E65" w:rsidP="00943E85">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Ponadto zgodnie z art. 9 ust. 1 RODO: </w:t>
      </w:r>
      <w:r w:rsidR="00943E85">
        <w:rPr>
          <w:rFonts w:ascii="Times New Roman" w:hAnsi="Times New Roman" w:cs="Times New Roman"/>
          <w:sz w:val="24"/>
          <w:szCs w:val="24"/>
        </w:rPr>
        <w:t>„</w:t>
      </w:r>
      <w:r>
        <w:rPr>
          <w:rFonts w:ascii="Times New Roman" w:hAnsi="Times New Roman" w:cs="Times New Roman"/>
          <w:sz w:val="24"/>
          <w:szCs w:val="24"/>
        </w:rPr>
        <w:t>Zabrania się przetwarzania danych osobowych ujawniających pochodzenie rasowe lub etniczne, poglądy polityczne, przekonania religijne lub światopoglądowe, przynależność do związków zawodowych oraz przetwarzania danych ge</w:t>
      </w:r>
      <w:r w:rsidR="00943E85">
        <w:rPr>
          <w:rFonts w:ascii="Times New Roman" w:hAnsi="Times New Roman" w:cs="Times New Roman"/>
          <w:sz w:val="24"/>
          <w:szCs w:val="24"/>
        </w:rPr>
        <w:t>netycznych, danych biometrycznych w celu jednoznacznego zidentyfikowania osoby fizycznej lub danych dotyczących zdrowia, seksualności lub orientacji seksualnej osoby”.</w:t>
      </w:r>
    </w:p>
    <w:p w14:paraId="55B0EBA2" w14:textId="092766AC" w:rsidR="00B448B0" w:rsidRDefault="00B448B0" w:rsidP="00943E85">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Biorąc pod uwagę szeroką definicję przetwarzania, jak i podstawę prawną do przetwarzania danych wrażliwych (art.25a ustawy o wychowaniu w trzeźwości i przeciwdziałaniu alkoholizmowi) można przyjąć, że komisje mogą występować do policji lub ośrodka pomocy społecznej o informację na temat danych dotyczących osób, wobec których podejmowane są działania. Jednakże pojawiają się wątpliwości w tym zakresie, głownie w związku z brakiem określenia ustawowego trybu pozyskiwania danych. </w:t>
      </w:r>
    </w:p>
    <w:p w14:paraId="1047D7F9" w14:textId="77777777" w:rsidR="003C7FC5" w:rsidRDefault="003C7FC5" w:rsidP="00943E85">
      <w:pPr>
        <w:pStyle w:val="Akapitzlist"/>
        <w:ind w:left="0"/>
        <w:jc w:val="both"/>
        <w:rPr>
          <w:rFonts w:ascii="Times New Roman" w:hAnsi="Times New Roman" w:cs="Times New Roman"/>
          <w:sz w:val="24"/>
          <w:szCs w:val="24"/>
        </w:rPr>
      </w:pPr>
    </w:p>
    <w:p w14:paraId="56348CAB" w14:textId="15F63A7F" w:rsidR="00B92CA9" w:rsidRDefault="00B92CA9" w:rsidP="00FD5738">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Należy zaznaczyć, że przy przyjęciu interpretacji Prezesa UODO trzeba pamiętać, że zakres informacji (danych), o jakich mowa powyżej, nie może wykraczać poza katalog danych określonych w art.25 a ustawy o wychowaniu w trzeźwości i przeciwdziałaniu alkoholizmowi.</w:t>
      </w:r>
    </w:p>
    <w:p w14:paraId="2EF72393" w14:textId="1CA40214" w:rsidR="008B45AA" w:rsidRDefault="00B92CA9" w:rsidP="00943E85">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Biorąc pod uwagę powyższe, to na Wójcie Gminy ciąży obowiązek zapewnienia, aby przetwarzanie danych przez gminną komisje odbywało się zgodnie z RODO. W sytuacji zatem, gdy gminne komisje mają problemy związane z interpretacją RODO, </w:t>
      </w:r>
      <w:r w:rsidR="00D32A3A">
        <w:rPr>
          <w:rFonts w:ascii="Times New Roman" w:hAnsi="Times New Roman" w:cs="Times New Roman"/>
          <w:sz w:val="24"/>
          <w:szCs w:val="24"/>
        </w:rPr>
        <w:t xml:space="preserve">Powinny kontaktować się z wytyczonym przez </w:t>
      </w:r>
      <w:r>
        <w:rPr>
          <w:rFonts w:ascii="Times New Roman" w:hAnsi="Times New Roman" w:cs="Times New Roman"/>
          <w:sz w:val="24"/>
          <w:szCs w:val="24"/>
        </w:rPr>
        <w:t>A</w:t>
      </w:r>
      <w:r w:rsidR="00D32A3A">
        <w:rPr>
          <w:rFonts w:ascii="Times New Roman" w:hAnsi="Times New Roman" w:cs="Times New Roman"/>
          <w:sz w:val="24"/>
          <w:szCs w:val="24"/>
        </w:rPr>
        <w:t>dministratora Inspektorem Ochrony Danych Osobowych.</w:t>
      </w:r>
    </w:p>
    <w:p w14:paraId="5AF08996" w14:textId="77777777" w:rsidR="00D32A3A" w:rsidRDefault="00D32A3A" w:rsidP="00943E85">
      <w:pPr>
        <w:pStyle w:val="Akapitzlist"/>
        <w:ind w:left="0"/>
        <w:jc w:val="both"/>
        <w:rPr>
          <w:rFonts w:ascii="Times New Roman" w:hAnsi="Times New Roman" w:cs="Times New Roman"/>
          <w:sz w:val="24"/>
          <w:szCs w:val="24"/>
        </w:rPr>
      </w:pPr>
    </w:p>
    <w:p w14:paraId="0BC50981" w14:textId="6C99BACE" w:rsidR="00E26834" w:rsidRPr="00E26834" w:rsidRDefault="00E26834" w:rsidP="00FD5738">
      <w:pPr>
        <w:shd w:val="clear" w:color="auto" w:fill="FBFBFB"/>
        <w:spacing w:before="300" w:after="300" w:line="240" w:lineRule="auto"/>
        <w:ind w:firstLine="708"/>
        <w:jc w:val="both"/>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lastRenderedPageBreak/>
        <w:t>Postępowanie w sprawie zobowiązania do poddania się leczeniu odwykowemu, prowadzone przez gminną komisję rozwiązywania problemów alkoholowych (a więc na etapie przedsądowym) na podstawie przepisów ustawy z dnia 26 października 1982 r. o wychowaniu w trzeźwości i przeciwdziałaniu alkoholizmowi nie jest sprawą administracyjną w rozumieniu art. 1 Kodeksu postępowania administracyjnego. Co za tym idzie, osoba, wobec której prowadzone jest postępowanie nie nabywa przymiotu strony. Do postępowania przed gminną komisją rozwiązywania problemów alkoholowych nie stosują się zatem przepisy tego kodeksu: ani te dotyczące m.in. udziału strony w postępowaniu dowodowym, ani te, które odnoszą się do prawa dostępu do akt.</w:t>
      </w:r>
    </w:p>
    <w:p w14:paraId="210A3FA1" w14:textId="77777777" w:rsidR="00E26834" w:rsidRPr="00E26834" w:rsidRDefault="00E26834" w:rsidP="00E26834">
      <w:pPr>
        <w:shd w:val="clear" w:color="auto" w:fill="FBFBFB"/>
        <w:spacing w:before="300" w:after="300" w:line="240" w:lineRule="auto"/>
        <w:jc w:val="both"/>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Odrębnego omówienia wymaga jednak możliwość uzyskania przez osobę, wobec której prowadzone jest postępowanie przed gminną komisją, dostępu do dokumentacji z tego postępowania.</w:t>
      </w:r>
    </w:p>
    <w:p w14:paraId="2137CBF2" w14:textId="048250CD" w:rsidR="00E26834" w:rsidRPr="00E26834" w:rsidRDefault="00E26834" w:rsidP="00E26834">
      <w:pPr>
        <w:shd w:val="clear" w:color="auto" w:fill="FBFBFB"/>
        <w:spacing w:after="0" w:line="240" w:lineRule="auto"/>
        <w:jc w:val="both"/>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Aktem prawnym, który reguluje działalność gminnych komisji rozwiązywania problemów alkoholowych jest ustawa o wychowaniu w trzeźwości i przeciwdziałaniu alkoholizmowi, lecz ustawa ta w żaden sposób nie ogranicza osobie, wobec której toczy się postępowanie o</w:t>
      </w:r>
      <w:r w:rsidR="007142FF">
        <w:rPr>
          <w:rFonts w:ascii="Times New Roman" w:eastAsia="Times New Roman" w:hAnsi="Times New Roman" w:cs="Times New Roman"/>
          <w:color w:val="0E1C3A"/>
          <w:sz w:val="24"/>
          <w:szCs w:val="24"/>
          <w:lang w:eastAsia="pl-PL"/>
        </w:rPr>
        <w:t> </w:t>
      </w:r>
      <w:r w:rsidRPr="00E26834">
        <w:rPr>
          <w:rFonts w:ascii="Times New Roman" w:eastAsia="Times New Roman" w:hAnsi="Times New Roman" w:cs="Times New Roman"/>
          <w:color w:val="0E1C3A"/>
          <w:sz w:val="24"/>
          <w:szCs w:val="24"/>
          <w:lang w:eastAsia="pl-PL"/>
        </w:rPr>
        <w:t>zobowiązanie do leczenia odwykowego, dostępu do informacji zgromadzonych na jej temat. </w:t>
      </w:r>
      <w:r w:rsidRPr="00E26834">
        <w:rPr>
          <w:rFonts w:ascii="Times New Roman" w:eastAsia="Times New Roman" w:hAnsi="Times New Roman" w:cs="Times New Roman"/>
          <w:b/>
          <w:bCs/>
          <w:color w:val="0E1C3A"/>
          <w:sz w:val="24"/>
          <w:szCs w:val="24"/>
          <w:bdr w:val="none" w:sz="0" w:space="0" w:color="auto" w:frame="1"/>
          <w:lang w:eastAsia="pl-PL"/>
        </w:rPr>
        <w:t>Ograniczenie takie znajduje się jednak w obowiązujących bezpośrednio przepisach unijnych</w:t>
      </w:r>
      <w:r w:rsidRPr="00E26834">
        <w:rPr>
          <w:rFonts w:ascii="Times New Roman" w:eastAsia="Times New Roman" w:hAnsi="Times New Roman" w:cs="Times New Roman"/>
          <w:color w:val="0E1C3A"/>
          <w:sz w:val="24"/>
          <w:szCs w:val="24"/>
          <w:lang w:eastAsia="pl-PL"/>
        </w:rPr>
        <w:t>.</w:t>
      </w:r>
    </w:p>
    <w:p w14:paraId="7497CF30" w14:textId="5D3C73CC" w:rsidR="00E26834" w:rsidRPr="00E26834" w:rsidRDefault="00E26834" w:rsidP="00E26834">
      <w:pPr>
        <w:shd w:val="clear" w:color="auto" w:fill="FBFBFB"/>
        <w:spacing w:before="300" w:after="300" w:line="240" w:lineRule="auto"/>
        <w:jc w:val="both"/>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Art. 15 Rozporządzenia Parlamentu Europejskiego i Rady (UE) 2016/679 z dnia 27 kwietnia 2016 r. w sprawie ochrony osób fizycznych w związku z przetwarzaniem danych osobowych i</w:t>
      </w:r>
      <w:r w:rsidR="007142FF">
        <w:rPr>
          <w:rFonts w:ascii="Times New Roman" w:eastAsia="Times New Roman" w:hAnsi="Times New Roman" w:cs="Times New Roman"/>
          <w:color w:val="0E1C3A"/>
          <w:sz w:val="24"/>
          <w:szCs w:val="24"/>
          <w:lang w:eastAsia="pl-PL"/>
        </w:rPr>
        <w:t> </w:t>
      </w:r>
      <w:r w:rsidRPr="00E26834">
        <w:rPr>
          <w:rFonts w:ascii="Times New Roman" w:eastAsia="Times New Roman" w:hAnsi="Times New Roman" w:cs="Times New Roman"/>
          <w:color w:val="0E1C3A"/>
          <w:sz w:val="24"/>
          <w:szCs w:val="24"/>
          <w:lang w:eastAsia="pl-PL"/>
        </w:rPr>
        <w:t>w sprawie swobodnego przepływu takich danych oraz uchylenia dyrektywy 95/46/WE (Dz. U. UE. L. z 2016 r. Nr 119, str. 1 z późn. zm. – dalej RODO) stanowi:</w:t>
      </w:r>
    </w:p>
    <w:p w14:paraId="7EF46131" w14:textId="129493A5" w:rsidR="00E26834" w:rsidRPr="00E26834" w:rsidRDefault="00E26834" w:rsidP="00E26834">
      <w:pPr>
        <w:numPr>
          <w:ilvl w:val="0"/>
          <w:numId w:val="9"/>
        </w:numPr>
        <w:shd w:val="clear" w:color="auto" w:fill="FBFBFB"/>
        <w:spacing w:after="0" w:line="240" w:lineRule="auto"/>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Osoba, której dane dotyczą, jest uprawniona do uzyskania od administratora potwierdzenia, czy przetwarzane są dane osobowe jej dotyczące, a jeżeli ma to miejsce, jest uprawniona do uzyskania dostępu do nich oraz następujących informacji:</w:t>
      </w:r>
      <w:r w:rsidRPr="00E26834">
        <w:rPr>
          <w:rFonts w:ascii="Times New Roman" w:eastAsia="Times New Roman" w:hAnsi="Times New Roman" w:cs="Times New Roman"/>
          <w:color w:val="0E1C3A"/>
          <w:sz w:val="24"/>
          <w:szCs w:val="24"/>
          <w:lang w:eastAsia="pl-PL"/>
        </w:rPr>
        <w:br/>
        <w:t>a) cele przetwarzania;</w:t>
      </w:r>
      <w:r w:rsidRPr="00E26834">
        <w:rPr>
          <w:rFonts w:ascii="Times New Roman" w:eastAsia="Times New Roman" w:hAnsi="Times New Roman" w:cs="Times New Roman"/>
          <w:color w:val="0E1C3A"/>
          <w:sz w:val="24"/>
          <w:szCs w:val="24"/>
          <w:lang w:eastAsia="pl-PL"/>
        </w:rPr>
        <w:br/>
        <w:t>b) kategorie odnośnych danych osobowych;</w:t>
      </w:r>
      <w:r w:rsidRPr="00E26834">
        <w:rPr>
          <w:rFonts w:ascii="Times New Roman" w:eastAsia="Times New Roman" w:hAnsi="Times New Roman" w:cs="Times New Roman"/>
          <w:color w:val="0E1C3A"/>
          <w:sz w:val="24"/>
          <w:szCs w:val="24"/>
          <w:lang w:eastAsia="pl-PL"/>
        </w:rPr>
        <w:br/>
        <w:t>c) informacje o odbiorcach lub kategoriach odbiorców, którym dane osobowe zostały lub zostaną ujawnione, w szczególności o odbiorcach w państwach trzecich lub organizacjach międzynarodowych;</w:t>
      </w:r>
      <w:r w:rsidRPr="00E26834">
        <w:rPr>
          <w:rFonts w:ascii="Times New Roman" w:eastAsia="Times New Roman" w:hAnsi="Times New Roman" w:cs="Times New Roman"/>
          <w:color w:val="0E1C3A"/>
          <w:sz w:val="24"/>
          <w:szCs w:val="24"/>
          <w:lang w:eastAsia="pl-PL"/>
        </w:rPr>
        <w:br/>
        <w:t>d) w miarę możliwości planowany okres przechowywania danych osobowych, a gdy nie jest to możliwe, kryteria ustalania tego okresu;</w:t>
      </w:r>
      <w:r w:rsidRPr="00E26834">
        <w:rPr>
          <w:rFonts w:ascii="Times New Roman" w:eastAsia="Times New Roman" w:hAnsi="Times New Roman" w:cs="Times New Roman"/>
          <w:color w:val="0E1C3A"/>
          <w:sz w:val="24"/>
          <w:szCs w:val="24"/>
          <w:lang w:eastAsia="pl-PL"/>
        </w:rPr>
        <w:br/>
        <w:t>e) informacje o prawie do żądania od administratora sprostowania, usunięcia lub ograniczenia przetwarzania danych osobowych dotyczącego osoby, której dane dotyczą, oraz do wniesienia sprzeciwu wobec takiego przetwarzania;</w:t>
      </w:r>
      <w:r w:rsidRPr="00E26834">
        <w:rPr>
          <w:rFonts w:ascii="Times New Roman" w:eastAsia="Times New Roman" w:hAnsi="Times New Roman" w:cs="Times New Roman"/>
          <w:color w:val="0E1C3A"/>
          <w:sz w:val="24"/>
          <w:szCs w:val="24"/>
          <w:lang w:eastAsia="pl-PL"/>
        </w:rPr>
        <w:br/>
        <w:t>f) informacje o prawie wniesienia skargi do organu nadzorczego;</w:t>
      </w:r>
      <w:r w:rsidRPr="00E26834">
        <w:rPr>
          <w:rFonts w:ascii="Times New Roman" w:eastAsia="Times New Roman" w:hAnsi="Times New Roman" w:cs="Times New Roman"/>
          <w:color w:val="0E1C3A"/>
          <w:sz w:val="24"/>
          <w:szCs w:val="24"/>
          <w:lang w:eastAsia="pl-PL"/>
        </w:rPr>
        <w:br/>
        <w:t>g) jeżeli dane osobowe nie zostały zebrane od osoby, której dane dotyczą – wszelkie dostępne informacje o ich źródle;</w:t>
      </w:r>
      <w:r w:rsidRPr="00E26834">
        <w:rPr>
          <w:rFonts w:ascii="Times New Roman" w:eastAsia="Times New Roman" w:hAnsi="Times New Roman" w:cs="Times New Roman"/>
          <w:color w:val="0E1C3A"/>
          <w:sz w:val="24"/>
          <w:szCs w:val="24"/>
          <w:lang w:eastAsia="pl-PL"/>
        </w:rPr>
        <w:br/>
        <w:t>h) informacje o zautomatyzowanym podejmowaniu decyzji, w tym o profilowaniu, o</w:t>
      </w:r>
      <w:r w:rsidR="007142FF">
        <w:rPr>
          <w:rFonts w:ascii="Times New Roman" w:eastAsia="Times New Roman" w:hAnsi="Times New Roman" w:cs="Times New Roman"/>
          <w:color w:val="0E1C3A"/>
          <w:sz w:val="24"/>
          <w:szCs w:val="24"/>
          <w:lang w:eastAsia="pl-PL"/>
        </w:rPr>
        <w:t> </w:t>
      </w:r>
      <w:r w:rsidRPr="00E26834">
        <w:rPr>
          <w:rFonts w:ascii="Times New Roman" w:eastAsia="Times New Roman" w:hAnsi="Times New Roman" w:cs="Times New Roman"/>
          <w:color w:val="0E1C3A"/>
          <w:sz w:val="24"/>
          <w:szCs w:val="24"/>
          <w:lang w:eastAsia="pl-PL"/>
        </w:rPr>
        <w:t>którym mowa w art. 22 ust. 1 i 4, oraz – przynajmniej w tych przypadkach – istotne informacje o zasadach ich podejmowania, a także o znaczeniu i przewidywanych konsekwencjach takiego przetwarzania dla osoby, której dane dotyczą.</w:t>
      </w:r>
    </w:p>
    <w:p w14:paraId="00417F47" w14:textId="78068ED9" w:rsidR="00E26834" w:rsidRPr="00E26834" w:rsidRDefault="00E26834" w:rsidP="00E26834">
      <w:pPr>
        <w:numPr>
          <w:ilvl w:val="0"/>
          <w:numId w:val="9"/>
        </w:numPr>
        <w:shd w:val="clear" w:color="auto" w:fill="FBFBFB"/>
        <w:spacing w:after="0" w:line="240" w:lineRule="auto"/>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Jeżeli dane osobowe są przekazywane do państwa trzeciego lub organizacji międzynarodowej, osoba, której dane dotyczą, ma prawo zostać poinformowana o</w:t>
      </w:r>
      <w:r w:rsidR="007142FF">
        <w:rPr>
          <w:rFonts w:ascii="Times New Roman" w:eastAsia="Times New Roman" w:hAnsi="Times New Roman" w:cs="Times New Roman"/>
          <w:color w:val="0E1C3A"/>
          <w:sz w:val="24"/>
          <w:szCs w:val="24"/>
          <w:lang w:eastAsia="pl-PL"/>
        </w:rPr>
        <w:t> </w:t>
      </w:r>
      <w:r w:rsidRPr="00E26834">
        <w:rPr>
          <w:rFonts w:ascii="Times New Roman" w:eastAsia="Times New Roman" w:hAnsi="Times New Roman" w:cs="Times New Roman"/>
          <w:color w:val="0E1C3A"/>
          <w:sz w:val="24"/>
          <w:szCs w:val="24"/>
          <w:lang w:eastAsia="pl-PL"/>
        </w:rPr>
        <w:t>odpowiednich zabezpieczeniach, o których mowa w art. 46, związanych z</w:t>
      </w:r>
      <w:r w:rsidR="007142FF">
        <w:rPr>
          <w:rFonts w:ascii="Times New Roman" w:eastAsia="Times New Roman" w:hAnsi="Times New Roman" w:cs="Times New Roman"/>
          <w:color w:val="0E1C3A"/>
          <w:sz w:val="24"/>
          <w:szCs w:val="24"/>
          <w:lang w:eastAsia="pl-PL"/>
        </w:rPr>
        <w:t> </w:t>
      </w:r>
      <w:r w:rsidRPr="00E26834">
        <w:rPr>
          <w:rFonts w:ascii="Times New Roman" w:eastAsia="Times New Roman" w:hAnsi="Times New Roman" w:cs="Times New Roman"/>
          <w:color w:val="0E1C3A"/>
          <w:sz w:val="24"/>
          <w:szCs w:val="24"/>
          <w:lang w:eastAsia="pl-PL"/>
        </w:rPr>
        <w:t>przekazaniem.</w:t>
      </w:r>
    </w:p>
    <w:p w14:paraId="6BBC7E9D" w14:textId="43DAC839" w:rsidR="00E26834" w:rsidRPr="00E26834" w:rsidRDefault="00E26834" w:rsidP="00E26834">
      <w:pPr>
        <w:numPr>
          <w:ilvl w:val="0"/>
          <w:numId w:val="9"/>
        </w:numPr>
        <w:shd w:val="clear" w:color="auto" w:fill="FBFBFB"/>
        <w:spacing w:after="0" w:line="240" w:lineRule="auto"/>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lastRenderedPageBreak/>
        <w:t>Administrator dostarcza osobie, której dane dotyczą, kopię danych osobowych podlegających przetwarzaniu. Za wszelkie kolejne kopie, o które zwróci się osoba, której dane dotyczą, administrator może pobrać opłatę w rozsądnej wysokości wynikającej z kosztów administracyjnych. Jeżeli osoba, której dane dotyczą, zwraca się o kopię drogą elektroniczną i jeżeli nie zaznaczy inaczej, informacji udziela się w</w:t>
      </w:r>
      <w:r w:rsidR="007142FF">
        <w:rPr>
          <w:rFonts w:ascii="Times New Roman" w:eastAsia="Times New Roman" w:hAnsi="Times New Roman" w:cs="Times New Roman"/>
          <w:color w:val="0E1C3A"/>
          <w:sz w:val="24"/>
          <w:szCs w:val="24"/>
          <w:lang w:eastAsia="pl-PL"/>
        </w:rPr>
        <w:t> </w:t>
      </w:r>
      <w:r w:rsidRPr="00E26834">
        <w:rPr>
          <w:rFonts w:ascii="Times New Roman" w:eastAsia="Times New Roman" w:hAnsi="Times New Roman" w:cs="Times New Roman"/>
          <w:color w:val="0E1C3A"/>
          <w:sz w:val="24"/>
          <w:szCs w:val="24"/>
          <w:lang w:eastAsia="pl-PL"/>
        </w:rPr>
        <w:t>powszechnie stosowanej formie elektronicznej.</w:t>
      </w:r>
    </w:p>
    <w:p w14:paraId="3952333D" w14:textId="77777777" w:rsidR="00E26834" w:rsidRPr="00E26834" w:rsidRDefault="00E26834" w:rsidP="00E26834">
      <w:pPr>
        <w:numPr>
          <w:ilvl w:val="0"/>
          <w:numId w:val="9"/>
        </w:numPr>
        <w:shd w:val="clear" w:color="auto" w:fill="FBFBFB"/>
        <w:spacing w:after="0" w:line="240" w:lineRule="auto"/>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Prawo do uzyskania kopii, o której mowa w ust. 3, nie może niekorzystnie wpływać na prawa i wolności innych.</w:t>
      </w:r>
    </w:p>
    <w:p w14:paraId="21848A19" w14:textId="77777777" w:rsidR="00E26834" w:rsidRPr="00E26834" w:rsidRDefault="00E26834" w:rsidP="00E26834">
      <w:pPr>
        <w:shd w:val="clear" w:color="auto" w:fill="FBFBFB"/>
        <w:spacing w:before="300" w:after="300" w:line="240" w:lineRule="auto"/>
        <w:jc w:val="both"/>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 xml:space="preserve">Zgodnie z motywem (63) RODO „Każda osoba fizyczna powinna mieć prawo dostępu do zebranych danych jej dotyczących oraz powinna mieć możliwość łatwego wykonywania tego prawa w rozsądnych odstępach czasu, by mieć świadomość przetwarzania i móc zweryfikować zgodność przetwarzania z prawem. Obejmuje to prawo dostępu osób, których dane dotyczą, do danych dotyczących ich zdrowia, na przykład do danych w dokumentacji medycznej zawierającej takie informacje, jak diagnoza, wyniki badań, oceny dokonywane przez lekarzy prowadzących, stosowane terapie czy przeprowadzone zabiegi. Dlatego też każda osoba, której dane dotyczą, powinna mieć prawo do wiedzy i informacji, w szczególności w zakresie celów, w jakich dane osobowe są przetwarzane, w miarę możliwości okresu, przez jaki dane osobowe są przetwarzane, odbiorców danych osobowych, założeń ewentualnego zautomatyzowanego przetwarzania danych osobowych </w:t>
      </w:r>
      <w:proofErr w:type="gramStart"/>
      <w:r w:rsidRPr="00E26834">
        <w:rPr>
          <w:rFonts w:ascii="Times New Roman" w:eastAsia="Times New Roman" w:hAnsi="Times New Roman" w:cs="Times New Roman"/>
          <w:color w:val="0E1C3A"/>
          <w:sz w:val="24"/>
          <w:szCs w:val="24"/>
          <w:lang w:eastAsia="pl-PL"/>
        </w:rPr>
        <w:t>oraz,</w:t>
      </w:r>
      <w:proofErr w:type="gramEnd"/>
      <w:r w:rsidRPr="00E26834">
        <w:rPr>
          <w:rFonts w:ascii="Times New Roman" w:eastAsia="Times New Roman" w:hAnsi="Times New Roman" w:cs="Times New Roman"/>
          <w:color w:val="0E1C3A"/>
          <w:sz w:val="24"/>
          <w:szCs w:val="24"/>
          <w:lang w:eastAsia="pl-PL"/>
        </w:rPr>
        <w:t xml:space="preserve"> przynajmniej w przypadku profilowania, konsekwencji takiego przetwarzania. W miarę możliwości administrator powinien mieć możliwość udzielania zdalnego dostępu do bezpiecznego systemu, który zapewni osobie, której dane dotyczą, bezpośredni dostęp do jej danych osobowych. Prawo to nie powinno negatywnie</w:t>
      </w:r>
      <w:r w:rsidRPr="00E26834">
        <w:rPr>
          <w:rFonts w:ascii="Arial" w:eastAsia="Times New Roman" w:hAnsi="Arial" w:cs="Arial"/>
          <w:color w:val="0E1C3A"/>
          <w:sz w:val="24"/>
          <w:szCs w:val="24"/>
          <w:lang w:eastAsia="pl-PL"/>
        </w:rPr>
        <w:t xml:space="preserve"> </w:t>
      </w:r>
      <w:r w:rsidRPr="00E26834">
        <w:rPr>
          <w:rFonts w:ascii="Times New Roman" w:eastAsia="Times New Roman" w:hAnsi="Times New Roman" w:cs="Times New Roman"/>
          <w:color w:val="0E1C3A"/>
          <w:sz w:val="24"/>
          <w:szCs w:val="24"/>
          <w:lang w:eastAsia="pl-PL"/>
        </w:rPr>
        <w:t>wpływać na prawa lub wolności innych osób, w tym tajemnice handlowe lub własność intelektualną, w szczególności na prawa autorskie chroniące oprogramowanie. Względy te nie powinny jednak skutkować odmową udzielenia osobie, której dane dotyczą, jakichkolwiek informacji. Jeżeli administrator przetwarza duże ilości informacji o osobie, której dane dotyczą, powinien on mieć możliwość zażądania, przed podaniem informacji, by osoba, której dane dotyczą, sprecyzowała informacje lub czynności przetwarzania, których dotyczy jej żądanie”.</w:t>
      </w:r>
    </w:p>
    <w:p w14:paraId="74B299E0" w14:textId="77777777" w:rsidR="00E26834" w:rsidRPr="00E26834" w:rsidRDefault="00E26834" w:rsidP="00E26834">
      <w:pPr>
        <w:shd w:val="clear" w:color="auto" w:fill="FBFBFB"/>
        <w:spacing w:after="0" w:line="240" w:lineRule="auto"/>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Biorąc pod uwagę powyższe, a także prawo dostępu osoby do zbiorów danych dotyczących jej dotyczących (art. 51 Konstytucji), wydaje się, że osobie, wobec której toczy się procedura sądowego zobowiązania do leczenia odwykowego </w:t>
      </w:r>
      <w:r w:rsidRPr="00E26834">
        <w:rPr>
          <w:rFonts w:ascii="Times New Roman" w:eastAsia="Times New Roman" w:hAnsi="Times New Roman" w:cs="Times New Roman"/>
          <w:b/>
          <w:bCs/>
          <w:color w:val="0E1C3A"/>
          <w:sz w:val="24"/>
          <w:szCs w:val="24"/>
          <w:bdr w:val="none" w:sz="0" w:space="0" w:color="auto" w:frame="1"/>
          <w:lang w:eastAsia="pl-PL"/>
        </w:rPr>
        <w:t>należy udostępnić te informacje, które nie naruszą praw i wolności innych osó</w:t>
      </w:r>
      <w:r w:rsidRPr="00E26834">
        <w:rPr>
          <w:rFonts w:ascii="Times New Roman" w:eastAsia="Times New Roman" w:hAnsi="Times New Roman" w:cs="Times New Roman"/>
          <w:color w:val="0E1C3A"/>
          <w:sz w:val="24"/>
          <w:szCs w:val="24"/>
          <w:lang w:eastAsia="pl-PL"/>
        </w:rPr>
        <w:t>b.</w:t>
      </w:r>
    </w:p>
    <w:p w14:paraId="68A2042B" w14:textId="5293F816" w:rsidR="00F52A07" w:rsidRDefault="00E26834" w:rsidP="00E26834">
      <w:pPr>
        <w:shd w:val="clear" w:color="auto" w:fill="FBFBFB"/>
        <w:spacing w:before="300" w:after="300" w:line="240" w:lineRule="auto"/>
        <w:textAlignment w:val="baseline"/>
        <w:rPr>
          <w:rFonts w:ascii="Times New Roman" w:eastAsia="Times New Roman" w:hAnsi="Times New Roman" w:cs="Times New Roman"/>
          <w:color w:val="0E1C3A"/>
          <w:sz w:val="24"/>
          <w:szCs w:val="24"/>
          <w:lang w:eastAsia="pl-PL"/>
        </w:rPr>
      </w:pPr>
      <w:r w:rsidRPr="00E26834">
        <w:rPr>
          <w:rFonts w:ascii="Times New Roman" w:eastAsia="Times New Roman" w:hAnsi="Times New Roman" w:cs="Times New Roman"/>
          <w:color w:val="0E1C3A"/>
          <w:sz w:val="24"/>
          <w:szCs w:val="24"/>
          <w:lang w:eastAsia="pl-PL"/>
        </w:rPr>
        <w:t>Informujemy równocześnie, że organem właściwym w sprawie ochrony danych osobowych jest Prezes Urzędu Ochrony Danych Osobowych i opinia tego organu jest w tym zakresie wiążąca.</w:t>
      </w:r>
    </w:p>
    <w:p w14:paraId="6085CFF9" w14:textId="77777777" w:rsidR="00741947" w:rsidRPr="007142FF" w:rsidRDefault="00741947" w:rsidP="00741947">
      <w:pPr>
        <w:shd w:val="clear" w:color="auto" w:fill="FBFBFB"/>
        <w:spacing w:after="0" w:line="240" w:lineRule="auto"/>
        <w:jc w:val="both"/>
        <w:textAlignment w:val="baseline"/>
        <w:outlineLvl w:val="2"/>
        <w:rPr>
          <w:rFonts w:ascii="Times New Roman" w:eastAsia="Times New Roman" w:hAnsi="Times New Roman" w:cs="Times New Roman"/>
          <w:b/>
          <w:bCs/>
          <w:color w:val="0E1C3A"/>
          <w:sz w:val="24"/>
          <w:szCs w:val="24"/>
          <w:lang w:eastAsia="pl-PL"/>
        </w:rPr>
      </w:pPr>
      <w:r w:rsidRPr="007142FF">
        <w:rPr>
          <w:rFonts w:ascii="Times New Roman" w:eastAsia="Times New Roman" w:hAnsi="Times New Roman" w:cs="Times New Roman"/>
          <w:b/>
          <w:bCs/>
          <w:color w:val="0E1C3A"/>
          <w:sz w:val="24"/>
          <w:szCs w:val="24"/>
          <w:lang w:eastAsia="pl-PL"/>
        </w:rPr>
        <w:t>Uprawnienia osoby inicjującej procedurę zobowiązania do podjęcia leczenia odwykowego</w:t>
      </w:r>
    </w:p>
    <w:p w14:paraId="0888713B" w14:textId="4CAC9650" w:rsidR="00741947" w:rsidRPr="00741947" w:rsidRDefault="00741947" w:rsidP="00741947">
      <w:pPr>
        <w:shd w:val="clear" w:color="auto" w:fill="FBFBFB"/>
        <w:spacing w:after="0" w:line="240" w:lineRule="auto"/>
        <w:jc w:val="both"/>
        <w:textAlignment w:val="baseline"/>
        <w:rPr>
          <w:rFonts w:ascii="Times New Roman" w:eastAsia="Times New Roman" w:hAnsi="Times New Roman" w:cs="Times New Roman"/>
          <w:color w:val="0E1C3A"/>
          <w:sz w:val="24"/>
          <w:szCs w:val="24"/>
          <w:lang w:eastAsia="pl-PL"/>
        </w:rPr>
      </w:pPr>
      <w:r w:rsidRPr="007142FF">
        <w:rPr>
          <w:rFonts w:ascii="Times New Roman" w:eastAsia="Times New Roman" w:hAnsi="Times New Roman" w:cs="Times New Roman"/>
          <w:color w:val="0E1C3A"/>
          <w:sz w:val="24"/>
          <w:szCs w:val="24"/>
          <w:lang w:eastAsia="pl-PL"/>
        </w:rPr>
        <w:t>Prowadzone przez gminne komisje rozwiązywania problemów alkoholowych postępowanie w</w:t>
      </w:r>
      <w:r w:rsidR="00FA4FBC">
        <w:rPr>
          <w:rFonts w:ascii="Times New Roman" w:eastAsia="Times New Roman" w:hAnsi="Times New Roman" w:cs="Times New Roman"/>
          <w:color w:val="0E1C3A"/>
          <w:sz w:val="24"/>
          <w:szCs w:val="24"/>
          <w:lang w:eastAsia="pl-PL"/>
        </w:rPr>
        <w:t> </w:t>
      </w:r>
      <w:r w:rsidRPr="007142FF">
        <w:rPr>
          <w:rFonts w:ascii="Times New Roman" w:eastAsia="Times New Roman" w:hAnsi="Times New Roman" w:cs="Times New Roman"/>
          <w:color w:val="0E1C3A"/>
          <w:sz w:val="24"/>
          <w:szCs w:val="24"/>
          <w:lang w:eastAsia="pl-PL"/>
        </w:rPr>
        <w:t>przedmiocie zobowiązania do poddania się leczeniu odwykowemu nie podlega regulacjom kodeksu postępowania administracyjnego. Sprawa związana z zastosowaniem obowiązku poddania się leczeniu w zakładzie lecznictwa odwykowego należy do kategorii spraw z zakresu prawa osobowego (por. np. postanowienia SN z dnia 11.X.2001r., II CZ 100/01, Lex nr 52474, z dnia 19.XII.2001r., IV CZ 207/01, Lex nr 52756). Oznacza to, że </w:t>
      </w:r>
      <w:r w:rsidRPr="007142FF">
        <w:rPr>
          <w:rFonts w:ascii="Times New Roman" w:eastAsia="Times New Roman" w:hAnsi="Times New Roman" w:cs="Times New Roman"/>
          <w:b/>
          <w:bCs/>
          <w:color w:val="0E1C3A"/>
          <w:sz w:val="24"/>
          <w:szCs w:val="24"/>
          <w:bdr w:val="none" w:sz="0" w:space="0" w:color="auto" w:frame="1"/>
          <w:lang w:eastAsia="pl-PL"/>
        </w:rPr>
        <w:t>osobie (lub instytucji) zawiadamiającej gminną komisję rozwiązywania problemów alkoholowych o</w:t>
      </w:r>
      <w:r w:rsidR="00DA1641" w:rsidRPr="007142FF">
        <w:rPr>
          <w:rFonts w:ascii="Times New Roman" w:eastAsia="Times New Roman" w:hAnsi="Times New Roman" w:cs="Times New Roman"/>
          <w:b/>
          <w:bCs/>
          <w:color w:val="0E1C3A"/>
          <w:sz w:val="24"/>
          <w:szCs w:val="24"/>
          <w:bdr w:val="none" w:sz="0" w:space="0" w:color="auto" w:frame="1"/>
          <w:lang w:eastAsia="pl-PL"/>
        </w:rPr>
        <w:t> </w:t>
      </w:r>
      <w:r w:rsidRPr="007142FF">
        <w:rPr>
          <w:rFonts w:ascii="Times New Roman" w:eastAsia="Times New Roman" w:hAnsi="Times New Roman" w:cs="Times New Roman"/>
          <w:b/>
          <w:bCs/>
          <w:color w:val="0E1C3A"/>
          <w:sz w:val="24"/>
          <w:szCs w:val="24"/>
          <w:bdr w:val="none" w:sz="0" w:space="0" w:color="auto" w:frame="1"/>
          <w:lang w:eastAsia="pl-PL"/>
        </w:rPr>
        <w:t xml:space="preserve">konieczności podjęcia działań w ramach wskazanej procedury nie przysługują prawa strony postępowania administracyjnego (oznacza to np., że osoba ta nie ma możliwości wglądu w dokumentację prowadzonego postępowania oraz nie staje się – na kolejnym </w:t>
      </w:r>
      <w:r w:rsidRPr="007142FF">
        <w:rPr>
          <w:rFonts w:ascii="Times New Roman" w:eastAsia="Times New Roman" w:hAnsi="Times New Roman" w:cs="Times New Roman"/>
          <w:b/>
          <w:bCs/>
          <w:color w:val="0E1C3A"/>
          <w:sz w:val="24"/>
          <w:szCs w:val="24"/>
          <w:bdr w:val="none" w:sz="0" w:space="0" w:color="auto" w:frame="1"/>
          <w:lang w:eastAsia="pl-PL"/>
        </w:rPr>
        <w:lastRenderedPageBreak/>
        <w:t>etapie sprawy – uczestnikiem postępowania sądowego)</w:t>
      </w:r>
      <w:r w:rsidRPr="007142FF">
        <w:rPr>
          <w:rFonts w:ascii="Times New Roman" w:eastAsia="Times New Roman" w:hAnsi="Times New Roman" w:cs="Times New Roman"/>
          <w:color w:val="0E1C3A"/>
          <w:sz w:val="24"/>
          <w:szCs w:val="24"/>
          <w:lang w:eastAsia="pl-PL"/>
        </w:rPr>
        <w:t>. W tym zakresie należy zgodzić się ze stanowiskiem wyrażonym w postanowieniu z dnia 27 czerwca 2007 r. sygn. akt I OSK 323/07 (Lex nr 3399730), w którym Naczelny</w:t>
      </w:r>
      <w:r w:rsidRPr="00741947">
        <w:rPr>
          <w:rFonts w:ascii="Times New Roman" w:eastAsia="Times New Roman" w:hAnsi="Times New Roman" w:cs="Times New Roman"/>
          <w:color w:val="0E1C3A"/>
          <w:sz w:val="24"/>
          <w:szCs w:val="24"/>
          <w:lang w:eastAsia="pl-PL"/>
        </w:rPr>
        <w:t xml:space="preserve"> Sąd Administracyjny wskazał, że gminna komisja rozwiązywania problemów alkoholowych należy do szeroko rozumianych organów władzy publicznej oraz że wykonuje zadania z zakresu administracji publicznej. Zdaniem Sądu nie oznacza to jednak, że czynności podejmowane przez tę komisję, takie jak skierowanie osoby na badanie przez biegłego w przedmiocie stwierdzenia uzależnienia alkoholowego oraz złożenie wniosku do sądu powszechnego zobowiązanie do poddania się leczeniu w zakładzie lecznictwa odwykowego, są czynnościami o jakich mowa w art. 3 § 2 pkt 4 P.p.s.a., podlegającymi zaskarżeniu do sądu administracyjnego.</w:t>
      </w:r>
    </w:p>
    <w:p w14:paraId="756C9BE1" w14:textId="77777777" w:rsidR="00741947" w:rsidRDefault="00741947" w:rsidP="00741947">
      <w:pPr>
        <w:shd w:val="clear" w:color="auto" w:fill="FBFBFB"/>
        <w:spacing w:after="0" w:line="240" w:lineRule="auto"/>
        <w:jc w:val="both"/>
        <w:textAlignment w:val="baseline"/>
        <w:rPr>
          <w:rFonts w:ascii="Times New Roman" w:eastAsia="Times New Roman" w:hAnsi="Times New Roman" w:cs="Times New Roman"/>
          <w:color w:val="0E1C3A"/>
          <w:sz w:val="24"/>
          <w:szCs w:val="24"/>
          <w:lang w:eastAsia="pl-PL"/>
        </w:rPr>
      </w:pPr>
      <w:r w:rsidRPr="00741947">
        <w:rPr>
          <w:rFonts w:ascii="Times New Roman" w:eastAsia="Times New Roman" w:hAnsi="Times New Roman" w:cs="Times New Roman"/>
          <w:color w:val="0E1C3A"/>
          <w:sz w:val="24"/>
          <w:szCs w:val="24"/>
          <w:lang w:eastAsia="pl-PL"/>
        </w:rPr>
        <w:t>Zatem, </w:t>
      </w:r>
      <w:r w:rsidRPr="00741947">
        <w:rPr>
          <w:rFonts w:ascii="Times New Roman" w:eastAsia="Times New Roman" w:hAnsi="Times New Roman" w:cs="Times New Roman"/>
          <w:b/>
          <w:bCs/>
          <w:color w:val="0E1C3A"/>
          <w:sz w:val="24"/>
          <w:szCs w:val="24"/>
          <w:bdr w:val="none" w:sz="0" w:space="0" w:color="auto" w:frame="1"/>
          <w:lang w:eastAsia="pl-PL"/>
        </w:rPr>
        <w:t>osoba zgłaszająca nie jest stroną postępowania i nie posiada uprawnienia do wglądu w dokumentację, otrzymywania informacji na temat sprawy, kserokopii, odpisów</w:t>
      </w:r>
      <w:r w:rsidRPr="00741947">
        <w:rPr>
          <w:rFonts w:ascii="Times New Roman" w:eastAsia="Times New Roman" w:hAnsi="Times New Roman" w:cs="Times New Roman"/>
          <w:color w:val="0E1C3A"/>
          <w:sz w:val="24"/>
          <w:szCs w:val="24"/>
          <w:lang w:eastAsia="pl-PL"/>
        </w:rPr>
        <w:t>.</w:t>
      </w:r>
    </w:p>
    <w:p w14:paraId="7ECE5736" w14:textId="77777777" w:rsidR="00DA1641" w:rsidRDefault="00DA1641" w:rsidP="00741947">
      <w:pPr>
        <w:shd w:val="clear" w:color="auto" w:fill="FBFBFB"/>
        <w:spacing w:after="0" w:line="240" w:lineRule="auto"/>
        <w:jc w:val="both"/>
        <w:textAlignment w:val="baseline"/>
        <w:rPr>
          <w:rFonts w:ascii="Times New Roman" w:eastAsia="Times New Roman" w:hAnsi="Times New Roman" w:cs="Times New Roman"/>
          <w:color w:val="0E1C3A"/>
          <w:sz w:val="24"/>
          <w:szCs w:val="24"/>
          <w:lang w:eastAsia="pl-PL"/>
        </w:rPr>
      </w:pPr>
    </w:p>
    <w:p w14:paraId="3FC163D1" w14:textId="77777777" w:rsidR="003C7FC5" w:rsidRDefault="003C7FC5" w:rsidP="00095414">
      <w:pPr>
        <w:pStyle w:val="Akapitzlist"/>
        <w:ind w:left="0"/>
        <w:rPr>
          <w:rFonts w:ascii="Times New Roman" w:hAnsi="Times New Roman" w:cs="Times New Roman"/>
          <w:sz w:val="24"/>
          <w:szCs w:val="24"/>
        </w:rPr>
      </w:pPr>
    </w:p>
    <w:p w14:paraId="51BE0363" w14:textId="77777777" w:rsidR="00F52A07" w:rsidRPr="00F52A07" w:rsidRDefault="00F52A07" w:rsidP="00F52A07">
      <w:pPr>
        <w:pStyle w:val="Akapitzlist"/>
        <w:ind w:left="0"/>
        <w:jc w:val="center"/>
        <w:rPr>
          <w:rFonts w:ascii="Times New Roman" w:hAnsi="Times New Roman" w:cs="Times New Roman"/>
          <w:b/>
          <w:bCs/>
          <w:sz w:val="24"/>
          <w:szCs w:val="24"/>
        </w:rPr>
      </w:pPr>
    </w:p>
    <w:p w14:paraId="617F3C62" w14:textId="481EF7CA" w:rsidR="00F52A07" w:rsidRDefault="00F52A07" w:rsidP="00F52A07">
      <w:pPr>
        <w:pStyle w:val="Akapitzlist"/>
        <w:ind w:left="0"/>
        <w:jc w:val="center"/>
        <w:rPr>
          <w:rFonts w:ascii="Times New Roman" w:hAnsi="Times New Roman" w:cs="Times New Roman"/>
          <w:b/>
          <w:bCs/>
          <w:sz w:val="24"/>
          <w:szCs w:val="24"/>
        </w:rPr>
      </w:pPr>
      <w:r w:rsidRPr="00F52A07">
        <w:rPr>
          <w:rFonts w:ascii="Times New Roman" w:hAnsi="Times New Roman" w:cs="Times New Roman"/>
          <w:b/>
          <w:bCs/>
          <w:sz w:val="24"/>
          <w:szCs w:val="24"/>
        </w:rPr>
        <w:t>Zadania Komisji</w:t>
      </w:r>
      <w:r w:rsidR="00D068F5">
        <w:rPr>
          <w:rFonts w:ascii="Times New Roman" w:hAnsi="Times New Roman" w:cs="Times New Roman"/>
          <w:b/>
          <w:bCs/>
          <w:sz w:val="24"/>
          <w:szCs w:val="24"/>
        </w:rPr>
        <w:t xml:space="preserve"> </w:t>
      </w:r>
    </w:p>
    <w:p w14:paraId="791AE9BB" w14:textId="77777777" w:rsidR="00F52A07" w:rsidRDefault="00F52A07" w:rsidP="00F52A07">
      <w:pPr>
        <w:pStyle w:val="Akapitzlist"/>
        <w:ind w:left="0"/>
        <w:jc w:val="center"/>
        <w:rPr>
          <w:rFonts w:ascii="Times New Roman" w:hAnsi="Times New Roman" w:cs="Times New Roman"/>
          <w:b/>
          <w:bCs/>
          <w:sz w:val="24"/>
          <w:szCs w:val="24"/>
        </w:rPr>
      </w:pPr>
    </w:p>
    <w:p w14:paraId="5BD22626" w14:textId="40D8C395" w:rsidR="00F52A07" w:rsidRDefault="00F52A07" w:rsidP="00F52A07">
      <w:pPr>
        <w:pStyle w:val="Akapitzlist"/>
        <w:ind w:left="0"/>
        <w:jc w:val="center"/>
        <w:rPr>
          <w:rFonts w:ascii="Times New Roman" w:hAnsi="Times New Roman" w:cs="Times New Roman"/>
          <w:b/>
          <w:bCs/>
          <w:sz w:val="24"/>
          <w:szCs w:val="24"/>
        </w:rPr>
      </w:pPr>
      <w:r>
        <w:rPr>
          <w:rFonts w:ascii="Times New Roman" w:hAnsi="Times New Roman" w:cs="Times New Roman"/>
          <w:b/>
          <w:bCs/>
          <w:sz w:val="24"/>
          <w:szCs w:val="24"/>
        </w:rPr>
        <w:t>Zadania komisji w ramach działań wynikających z instytucji prawnej zobowiązania do leczenia odwykowego:</w:t>
      </w:r>
    </w:p>
    <w:p w14:paraId="56D3F635" w14:textId="77777777" w:rsidR="006B680D" w:rsidRDefault="006B680D" w:rsidP="00F52A07">
      <w:pPr>
        <w:pStyle w:val="Akapitzlist"/>
        <w:ind w:left="0"/>
        <w:jc w:val="center"/>
        <w:rPr>
          <w:rFonts w:ascii="Times New Roman" w:hAnsi="Times New Roman" w:cs="Times New Roman"/>
          <w:b/>
          <w:bCs/>
          <w:sz w:val="24"/>
          <w:szCs w:val="24"/>
        </w:rPr>
      </w:pPr>
    </w:p>
    <w:p w14:paraId="1EF99A35" w14:textId="11EAFDDC" w:rsidR="00341B73" w:rsidRDefault="00F52A07" w:rsidP="00D12E2D">
      <w:pPr>
        <w:pStyle w:val="Akapitzlist"/>
        <w:numPr>
          <w:ilvl w:val="0"/>
          <w:numId w:val="8"/>
        </w:numPr>
        <w:ind w:left="360"/>
        <w:jc w:val="both"/>
        <w:rPr>
          <w:rFonts w:ascii="Times New Roman" w:hAnsi="Times New Roman" w:cs="Times New Roman"/>
          <w:sz w:val="24"/>
          <w:szCs w:val="24"/>
        </w:rPr>
      </w:pPr>
      <w:r w:rsidRPr="00A54BF7">
        <w:rPr>
          <w:rFonts w:ascii="Times New Roman" w:hAnsi="Times New Roman" w:cs="Times New Roman"/>
          <w:sz w:val="24"/>
          <w:szCs w:val="24"/>
          <w:u w:val="single"/>
        </w:rPr>
        <w:t>Przyjęcie zgłoszenia</w:t>
      </w:r>
      <w:r w:rsidR="000811A0" w:rsidRPr="00A54BF7">
        <w:rPr>
          <w:rFonts w:ascii="Times New Roman" w:hAnsi="Times New Roman" w:cs="Times New Roman"/>
          <w:sz w:val="24"/>
          <w:szCs w:val="24"/>
          <w:u w:val="single"/>
        </w:rPr>
        <w:t xml:space="preserve"> </w:t>
      </w:r>
      <w:r w:rsidR="000811A0">
        <w:rPr>
          <w:rFonts w:ascii="Times New Roman" w:hAnsi="Times New Roman" w:cs="Times New Roman"/>
          <w:sz w:val="24"/>
          <w:szCs w:val="24"/>
        </w:rPr>
        <w:t>(Wnios</w:t>
      </w:r>
      <w:r w:rsidR="00FB2DAD">
        <w:rPr>
          <w:rFonts w:ascii="Times New Roman" w:hAnsi="Times New Roman" w:cs="Times New Roman"/>
          <w:sz w:val="24"/>
          <w:szCs w:val="24"/>
        </w:rPr>
        <w:t xml:space="preserve">ek </w:t>
      </w:r>
      <w:r w:rsidR="000811A0">
        <w:rPr>
          <w:rFonts w:ascii="Times New Roman" w:hAnsi="Times New Roman" w:cs="Times New Roman"/>
          <w:sz w:val="24"/>
          <w:szCs w:val="24"/>
        </w:rPr>
        <w:t>do GKRPA)</w:t>
      </w:r>
      <w:r w:rsidRPr="00F52A07">
        <w:rPr>
          <w:rFonts w:ascii="Times New Roman" w:hAnsi="Times New Roman" w:cs="Times New Roman"/>
          <w:sz w:val="24"/>
          <w:szCs w:val="24"/>
        </w:rPr>
        <w:t xml:space="preserve"> </w:t>
      </w:r>
      <w:r w:rsidR="00FB2DAD">
        <w:rPr>
          <w:rFonts w:ascii="Times New Roman" w:hAnsi="Times New Roman" w:cs="Times New Roman"/>
          <w:sz w:val="24"/>
          <w:szCs w:val="24"/>
        </w:rPr>
        <w:t xml:space="preserve">w </w:t>
      </w:r>
      <w:r w:rsidRPr="00F52A07">
        <w:rPr>
          <w:rFonts w:ascii="Times New Roman" w:hAnsi="Times New Roman" w:cs="Times New Roman"/>
          <w:sz w:val="24"/>
          <w:szCs w:val="24"/>
        </w:rPr>
        <w:t>przypadku wystąpienia nadużywania alkoholu z jednoczesnym wystąpieniem przesłanek z art. 24 ustawy o wychowaniu w</w:t>
      </w:r>
      <w:r w:rsidR="000811A0">
        <w:rPr>
          <w:rFonts w:ascii="Times New Roman" w:hAnsi="Times New Roman" w:cs="Times New Roman"/>
          <w:sz w:val="24"/>
          <w:szCs w:val="24"/>
        </w:rPr>
        <w:t> </w:t>
      </w:r>
      <w:r w:rsidRPr="00F52A07">
        <w:rPr>
          <w:rFonts w:ascii="Times New Roman" w:hAnsi="Times New Roman" w:cs="Times New Roman"/>
          <w:sz w:val="24"/>
          <w:szCs w:val="24"/>
        </w:rPr>
        <w:t>trzeźwości i</w:t>
      </w:r>
      <w:r>
        <w:rPr>
          <w:rFonts w:ascii="Times New Roman" w:hAnsi="Times New Roman" w:cs="Times New Roman"/>
          <w:sz w:val="24"/>
          <w:szCs w:val="24"/>
        </w:rPr>
        <w:t> </w:t>
      </w:r>
      <w:r w:rsidRPr="00F52A07">
        <w:rPr>
          <w:rFonts w:ascii="Times New Roman" w:hAnsi="Times New Roman" w:cs="Times New Roman"/>
          <w:sz w:val="24"/>
          <w:szCs w:val="24"/>
        </w:rPr>
        <w:t>przeciwdziałaniu alkoholizmowi</w:t>
      </w:r>
      <w:r w:rsidR="00341B73">
        <w:rPr>
          <w:rFonts w:ascii="Times New Roman" w:hAnsi="Times New Roman" w:cs="Times New Roman"/>
          <w:sz w:val="24"/>
          <w:szCs w:val="24"/>
        </w:rPr>
        <w:t>. Należy zaznaczyć, że każdy może złożyć zawiadomienie rozpoczynającą procedurę.</w:t>
      </w:r>
    </w:p>
    <w:p w14:paraId="6A72B75F" w14:textId="6684DE3A" w:rsidR="00341B73" w:rsidRDefault="00341B73" w:rsidP="00D12E2D">
      <w:pPr>
        <w:pStyle w:val="Akapitzlist"/>
        <w:numPr>
          <w:ilvl w:val="0"/>
          <w:numId w:val="8"/>
        </w:numPr>
        <w:ind w:left="360"/>
        <w:jc w:val="both"/>
        <w:rPr>
          <w:rFonts w:ascii="Times New Roman" w:hAnsi="Times New Roman" w:cs="Times New Roman"/>
          <w:sz w:val="24"/>
          <w:szCs w:val="24"/>
        </w:rPr>
      </w:pPr>
      <w:r w:rsidRPr="00A54BF7">
        <w:rPr>
          <w:rFonts w:ascii="Times New Roman" w:hAnsi="Times New Roman" w:cs="Times New Roman"/>
          <w:sz w:val="24"/>
          <w:szCs w:val="24"/>
          <w:u w:val="single"/>
        </w:rPr>
        <w:t>Zaproszenie na rozmowę osob</w:t>
      </w:r>
      <w:r w:rsidR="00A54BF7">
        <w:rPr>
          <w:rFonts w:ascii="Times New Roman" w:hAnsi="Times New Roman" w:cs="Times New Roman"/>
          <w:sz w:val="24"/>
          <w:szCs w:val="24"/>
          <w:u w:val="single"/>
        </w:rPr>
        <w:t>ę</w:t>
      </w:r>
      <w:r>
        <w:rPr>
          <w:rFonts w:ascii="Times New Roman" w:hAnsi="Times New Roman" w:cs="Times New Roman"/>
          <w:sz w:val="24"/>
          <w:szCs w:val="24"/>
        </w:rPr>
        <w:t>, co do której wpłynęło zgłoszenie i pouczenie jej o</w:t>
      </w:r>
      <w:r w:rsidR="000F653C">
        <w:rPr>
          <w:rFonts w:ascii="Times New Roman" w:hAnsi="Times New Roman" w:cs="Times New Roman"/>
          <w:sz w:val="24"/>
          <w:szCs w:val="24"/>
        </w:rPr>
        <w:t> </w:t>
      </w:r>
      <w:r>
        <w:rPr>
          <w:rFonts w:ascii="Times New Roman" w:hAnsi="Times New Roman" w:cs="Times New Roman"/>
          <w:sz w:val="24"/>
          <w:szCs w:val="24"/>
        </w:rPr>
        <w:t>konieczności zaprzestania działań wymienionych w art.</w:t>
      </w:r>
      <w:r w:rsidR="00FB2DAD">
        <w:rPr>
          <w:rFonts w:ascii="Times New Roman" w:hAnsi="Times New Roman" w:cs="Times New Roman"/>
          <w:sz w:val="24"/>
          <w:szCs w:val="24"/>
        </w:rPr>
        <w:t xml:space="preserve"> </w:t>
      </w:r>
      <w:r>
        <w:rPr>
          <w:rFonts w:ascii="Times New Roman" w:hAnsi="Times New Roman" w:cs="Times New Roman"/>
          <w:sz w:val="24"/>
          <w:szCs w:val="24"/>
        </w:rPr>
        <w:t xml:space="preserve">24 ustawy i poddania się leczeniu odwykowemu.  Komisja nie posiada instrumentów prawnych do </w:t>
      </w:r>
      <w:r w:rsidR="000F653C">
        <w:rPr>
          <w:rFonts w:ascii="Times New Roman" w:hAnsi="Times New Roman" w:cs="Times New Roman"/>
          <w:sz w:val="24"/>
          <w:szCs w:val="24"/>
        </w:rPr>
        <w:t>zobowiązania osoby, co do której wpłynęło zgłoszenie, aby przyszła na spotkanie. Może jedynie zaprosić tak</w:t>
      </w:r>
      <w:r w:rsidR="00817C79">
        <w:rPr>
          <w:rFonts w:ascii="Times New Roman" w:hAnsi="Times New Roman" w:cs="Times New Roman"/>
          <w:sz w:val="24"/>
          <w:szCs w:val="24"/>
        </w:rPr>
        <w:t>ą</w:t>
      </w:r>
      <w:r w:rsidR="000F653C">
        <w:rPr>
          <w:rFonts w:ascii="Times New Roman" w:hAnsi="Times New Roman" w:cs="Times New Roman"/>
          <w:sz w:val="24"/>
          <w:szCs w:val="24"/>
        </w:rPr>
        <w:t xml:space="preserve"> osobę na rozmowę. Podczas spotkania </w:t>
      </w:r>
      <w:r w:rsidR="00D068F5">
        <w:rPr>
          <w:rFonts w:ascii="Times New Roman" w:hAnsi="Times New Roman" w:cs="Times New Roman"/>
          <w:sz w:val="24"/>
          <w:szCs w:val="24"/>
        </w:rPr>
        <w:t>z osobą, co do której wpłynęło zgłoszenie, nie powinien być obecny nikt inny oprócz członków GKRPA. Należy podkreślić, że na gruncie przepisów ustawy o wychowaniu w trzeźwości i przeciwdziałaniu alkoholizmowi tylko GKRPA posiada uprawnienia do prowadzenia procedury. Tym samym obecność innych osób spoza gminnej komisji</w:t>
      </w:r>
      <w:r w:rsidR="009C5D67">
        <w:rPr>
          <w:rFonts w:ascii="Times New Roman" w:hAnsi="Times New Roman" w:cs="Times New Roman"/>
          <w:sz w:val="24"/>
          <w:szCs w:val="24"/>
        </w:rPr>
        <w:t xml:space="preserve"> będzie budzić zastrzeżenia z uwagi na przetwarzanie danych wrażliwych. Jednocześnie należy wskazać, iż w sytuacji stawienia się osoby, wobec, której komisja prowadzi czynności wraz z pełnomocnikiem – np. adwokatem, należy zapewnić obecność pełnomocnika strony na takim posiedzeniu komisji rozwiązywania problemów alkoholowych. </w:t>
      </w:r>
    </w:p>
    <w:p w14:paraId="2BB4F5FF" w14:textId="1A55897F" w:rsidR="009C5D67" w:rsidRDefault="009C5D67" w:rsidP="00D12E2D">
      <w:pPr>
        <w:pStyle w:val="Akapitzlist"/>
        <w:ind w:left="360"/>
        <w:jc w:val="both"/>
        <w:rPr>
          <w:rFonts w:ascii="Times New Roman" w:hAnsi="Times New Roman" w:cs="Times New Roman"/>
          <w:sz w:val="24"/>
          <w:szCs w:val="24"/>
        </w:rPr>
      </w:pPr>
      <w:r>
        <w:rPr>
          <w:rFonts w:ascii="Times New Roman" w:hAnsi="Times New Roman" w:cs="Times New Roman"/>
          <w:sz w:val="24"/>
          <w:szCs w:val="24"/>
        </w:rPr>
        <w:t xml:space="preserve">      Spotkanie członków GKRPA z osobą, co do której wpłynęło zgłoszenie, nie powinno przybierać formy posiedzenia wyjazdowego w miejscu zamieszkania tej osoby. </w:t>
      </w:r>
    </w:p>
    <w:p w14:paraId="5E889B96" w14:textId="124E3BDA" w:rsidR="009C5D67" w:rsidRDefault="009C5D67" w:rsidP="00D12E2D">
      <w:pPr>
        <w:pStyle w:val="Akapitzlist"/>
        <w:ind w:left="360"/>
        <w:jc w:val="both"/>
        <w:rPr>
          <w:rFonts w:ascii="Times New Roman" w:hAnsi="Times New Roman" w:cs="Times New Roman"/>
          <w:sz w:val="24"/>
          <w:szCs w:val="24"/>
        </w:rPr>
      </w:pPr>
      <w:r>
        <w:rPr>
          <w:rFonts w:ascii="Times New Roman" w:hAnsi="Times New Roman" w:cs="Times New Roman"/>
          <w:sz w:val="24"/>
          <w:szCs w:val="24"/>
        </w:rPr>
        <w:tab/>
        <w:t>Ponadto</w:t>
      </w:r>
      <w:r w:rsidR="00817C79">
        <w:rPr>
          <w:rFonts w:ascii="Times New Roman" w:hAnsi="Times New Roman" w:cs="Times New Roman"/>
          <w:sz w:val="24"/>
          <w:szCs w:val="24"/>
        </w:rPr>
        <w:t xml:space="preserve"> GKRPA</w:t>
      </w:r>
      <w:r>
        <w:rPr>
          <w:rFonts w:ascii="Times New Roman" w:hAnsi="Times New Roman" w:cs="Times New Roman"/>
          <w:sz w:val="24"/>
          <w:szCs w:val="24"/>
        </w:rPr>
        <w:t xml:space="preserve"> </w:t>
      </w:r>
      <w:r w:rsidRPr="00FB2DAD">
        <w:rPr>
          <w:rFonts w:ascii="Times New Roman" w:hAnsi="Times New Roman" w:cs="Times New Roman"/>
          <w:b/>
          <w:bCs/>
          <w:sz w:val="24"/>
          <w:szCs w:val="24"/>
        </w:rPr>
        <w:t>nie jest uprawniona</w:t>
      </w:r>
      <w:r>
        <w:rPr>
          <w:rFonts w:ascii="Times New Roman" w:hAnsi="Times New Roman" w:cs="Times New Roman"/>
          <w:sz w:val="24"/>
          <w:szCs w:val="24"/>
        </w:rPr>
        <w:t xml:space="preserve"> do zlecenia ośrodkowi pomocy społecznej przeprowadzenia wywiadów środowiskowych. Uprawnienie to przysługuje jednak sądowi.</w:t>
      </w:r>
    </w:p>
    <w:p w14:paraId="45108AC5" w14:textId="4415B58D" w:rsidR="009C5D67" w:rsidRDefault="009C5D67" w:rsidP="00D12E2D">
      <w:pPr>
        <w:pStyle w:val="Akapitzlist"/>
        <w:ind w:left="360"/>
        <w:jc w:val="both"/>
        <w:rPr>
          <w:rFonts w:ascii="Times New Roman" w:hAnsi="Times New Roman" w:cs="Times New Roman"/>
          <w:sz w:val="24"/>
          <w:szCs w:val="24"/>
        </w:rPr>
      </w:pPr>
      <w:r>
        <w:rPr>
          <w:rFonts w:ascii="Times New Roman" w:hAnsi="Times New Roman" w:cs="Times New Roman"/>
          <w:sz w:val="24"/>
          <w:szCs w:val="24"/>
        </w:rPr>
        <w:tab/>
        <w:t xml:space="preserve">GKRPA w ramach procedury zobowiązania do poddania się leczeniu </w:t>
      </w:r>
      <w:r w:rsidR="00FB2DAD">
        <w:rPr>
          <w:rFonts w:ascii="Times New Roman" w:hAnsi="Times New Roman" w:cs="Times New Roman"/>
          <w:sz w:val="24"/>
          <w:szCs w:val="24"/>
        </w:rPr>
        <w:t>o</w:t>
      </w:r>
      <w:r>
        <w:rPr>
          <w:rFonts w:ascii="Times New Roman" w:hAnsi="Times New Roman" w:cs="Times New Roman"/>
          <w:sz w:val="24"/>
          <w:szCs w:val="24"/>
        </w:rPr>
        <w:t>dwykowemu</w:t>
      </w:r>
      <w:r w:rsidR="00FB2DAD">
        <w:rPr>
          <w:rFonts w:ascii="Times New Roman" w:hAnsi="Times New Roman" w:cs="Times New Roman"/>
          <w:sz w:val="24"/>
          <w:szCs w:val="24"/>
        </w:rPr>
        <w:t xml:space="preserve"> </w:t>
      </w:r>
      <w:r w:rsidR="00A54BF7">
        <w:rPr>
          <w:rFonts w:ascii="Times New Roman" w:hAnsi="Times New Roman" w:cs="Times New Roman"/>
          <w:sz w:val="24"/>
          <w:szCs w:val="24"/>
        </w:rPr>
        <w:t xml:space="preserve">nie może </w:t>
      </w:r>
      <w:r>
        <w:rPr>
          <w:rFonts w:ascii="Times New Roman" w:hAnsi="Times New Roman" w:cs="Times New Roman"/>
          <w:sz w:val="24"/>
          <w:szCs w:val="24"/>
        </w:rPr>
        <w:t>sprawdz</w:t>
      </w:r>
      <w:r w:rsidR="00A54BF7">
        <w:rPr>
          <w:rFonts w:ascii="Times New Roman" w:hAnsi="Times New Roman" w:cs="Times New Roman"/>
          <w:sz w:val="24"/>
          <w:szCs w:val="24"/>
        </w:rPr>
        <w:t>ać</w:t>
      </w:r>
      <w:r>
        <w:rPr>
          <w:rFonts w:ascii="Times New Roman" w:hAnsi="Times New Roman" w:cs="Times New Roman"/>
          <w:sz w:val="24"/>
          <w:szCs w:val="24"/>
        </w:rPr>
        <w:t xml:space="preserve"> stanu trzeźwości osób zapraszanych na rozmowy motywujące,</w:t>
      </w:r>
      <w:r w:rsidR="00A54BF7">
        <w:rPr>
          <w:rFonts w:ascii="Times New Roman" w:hAnsi="Times New Roman" w:cs="Times New Roman"/>
          <w:sz w:val="24"/>
          <w:szCs w:val="24"/>
        </w:rPr>
        <w:t xml:space="preserve"> </w:t>
      </w:r>
      <w:proofErr w:type="gramStart"/>
      <w:r w:rsidR="00A54BF7">
        <w:rPr>
          <w:rFonts w:ascii="Times New Roman" w:hAnsi="Times New Roman" w:cs="Times New Roman"/>
          <w:sz w:val="24"/>
          <w:szCs w:val="24"/>
        </w:rPr>
        <w:t xml:space="preserve">ponieważ </w:t>
      </w:r>
      <w:r>
        <w:rPr>
          <w:rFonts w:ascii="Times New Roman" w:hAnsi="Times New Roman" w:cs="Times New Roman"/>
          <w:sz w:val="24"/>
          <w:szCs w:val="24"/>
        </w:rPr>
        <w:t xml:space="preserve"> jest</w:t>
      </w:r>
      <w:proofErr w:type="gramEnd"/>
      <w:r>
        <w:rPr>
          <w:rFonts w:ascii="Times New Roman" w:hAnsi="Times New Roman" w:cs="Times New Roman"/>
          <w:sz w:val="24"/>
          <w:szCs w:val="24"/>
        </w:rPr>
        <w:t xml:space="preserve"> przekroczenie uprawnień i przeczy istocie </w:t>
      </w:r>
      <w:r w:rsidR="00C95A1F">
        <w:rPr>
          <w:rFonts w:ascii="Times New Roman" w:hAnsi="Times New Roman" w:cs="Times New Roman"/>
          <w:sz w:val="24"/>
          <w:szCs w:val="24"/>
        </w:rPr>
        <w:t xml:space="preserve">rozmowy motywującej do poddania się leczeniu odwykowemu. W sytuacji, gdy zachodzi uzasadnione podejrzenie, że osoba zaproszona na rozmowę motywująca znajduje się pod wpływem alkoholu, zasadnym jest po stronie komisji odstąpienie od prowadzenia rozmowy oraz zaproponowanie kolejnego terminu spotkania. Z takiego posiedzenia GKRPA należy sporządzić notatkę służbową, </w:t>
      </w:r>
      <w:r w:rsidR="00C95A1F">
        <w:rPr>
          <w:rFonts w:ascii="Times New Roman" w:hAnsi="Times New Roman" w:cs="Times New Roman"/>
          <w:sz w:val="24"/>
          <w:szCs w:val="24"/>
        </w:rPr>
        <w:lastRenderedPageBreak/>
        <w:t xml:space="preserve">opisując przesłanki dotyczące niemożności podjęcia dialogu z osobą zgłoszoną do gminnej komisji, z uwagi na fakt, że ta osoba była pod wpływem alkoholu. </w:t>
      </w:r>
    </w:p>
    <w:p w14:paraId="024AA023" w14:textId="25940694" w:rsidR="00C95A1F" w:rsidRDefault="00C95A1F" w:rsidP="00D12E2D">
      <w:pPr>
        <w:pStyle w:val="Akapitzlist"/>
        <w:numPr>
          <w:ilvl w:val="0"/>
          <w:numId w:val="8"/>
        </w:numPr>
        <w:ind w:left="360"/>
        <w:jc w:val="both"/>
        <w:rPr>
          <w:rFonts w:ascii="Times New Roman" w:hAnsi="Times New Roman" w:cs="Times New Roman"/>
          <w:sz w:val="24"/>
          <w:szCs w:val="24"/>
        </w:rPr>
      </w:pPr>
      <w:r w:rsidRPr="00A54BF7">
        <w:rPr>
          <w:rFonts w:ascii="Times New Roman" w:hAnsi="Times New Roman" w:cs="Times New Roman"/>
          <w:sz w:val="24"/>
          <w:szCs w:val="24"/>
          <w:u w:val="single"/>
        </w:rPr>
        <w:t>Skierowanie na badanie</w:t>
      </w:r>
      <w:r>
        <w:rPr>
          <w:rFonts w:ascii="Times New Roman" w:hAnsi="Times New Roman" w:cs="Times New Roman"/>
          <w:sz w:val="24"/>
          <w:szCs w:val="24"/>
        </w:rPr>
        <w:t xml:space="preserve"> – jeżeli osoba wezwana nie zgłosi się na dobrowolne poddanie się leczeniu, a wstępne czynności przeprowadzone w sprawie potwierdzają, że kontynuowanie postępowania jest uzasadnione, to wskazane jest skierowanie jej na badanie przez biegłych (psycholog lub specjalista psychoterapii uzależnień i psychiatra)</w:t>
      </w:r>
      <w:r w:rsidR="00AD2337">
        <w:rPr>
          <w:rFonts w:ascii="Times New Roman" w:hAnsi="Times New Roman" w:cs="Times New Roman"/>
          <w:sz w:val="24"/>
          <w:szCs w:val="24"/>
        </w:rPr>
        <w:t xml:space="preserve"> w celu wydania opinii w</w:t>
      </w:r>
      <w:r w:rsidR="00CC1B25">
        <w:rPr>
          <w:rFonts w:ascii="Times New Roman" w:hAnsi="Times New Roman" w:cs="Times New Roman"/>
          <w:sz w:val="24"/>
          <w:szCs w:val="24"/>
        </w:rPr>
        <w:t> </w:t>
      </w:r>
      <w:r w:rsidR="00AD2337">
        <w:rPr>
          <w:rFonts w:ascii="Times New Roman" w:hAnsi="Times New Roman" w:cs="Times New Roman"/>
          <w:sz w:val="24"/>
          <w:szCs w:val="24"/>
        </w:rPr>
        <w:t>przedmiocie uzależnienia od alkoholu i wskazania rodzaju zakładu leczniczego.</w:t>
      </w:r>
    </w:p>
    <w:p w14:paraId="63FD877F" w14:textId="77777777" w:rsidR="00A54BF7" w:rsidRDefault="00A54BF7" w:rsidP="00A54BF7">
      <w:pPr>
        <w:pStyle w:val="Akapitzlist"/>
        <w:ind w:left="360"/>
        <w:jc w:val="both"/>
        <w:rPr>
          <w:rFonts w:ascii="Times New Roman" w:hAnsi="Times New Roman" w:cs="Times New Roman"/>
          <w:sz w:val="24"/>
          <w:szCs w:val="24"/>
        </w:rPr>
      </w:pPr>
    </w:p>
    <w:p w14:paraId="5949641D" w14:textId="77777777" w:rsidR="00A54BF7" w:rsidRDefault="00AD2337" w:rsidP="00A54BF7">
      <w:pPr>
        <w:pStyle w:val="Akapitzlist"/>
        <w:ind w:left="360" w:firstLine="348"/>
        <w:jc w:val="both"/>
        <w:rPr>
          <w:rFonts w:ascii="Times New Roman" w:hAnsi="Times New Roman" w:cs="Times New Roman"/>
          <w:sz w:val="24"/>
          <w:szCs w:val="24"/>
        </w:rPr>
      </w:pPr>
      <w:r>
        <w:rPr>
          <w:rFonts w:ascii="Times New Roman" w:hAnsi="Times New Roman" w:cs="Times New Roman"/>
          <w:sz w:val="24"/>
          <w:szCs w:val="24"/>
        </w:rPr>
        <w:t>Zdarza się, że osoba, w stosunku do której wpłynął wniosek o wszczęcie procedury, nie przyjmuje zaproszenia GKRPA na rozmowę lub stawia się przed komisją, ale neguje nadużywanie alkoholu. W powyższej sytuacji należałoby każdorazowo rozważyć inne sposoby postępowania – jeżeli z otrzymanego wniosku wynika, że jest wysoce prawdopodobne, iż osoba, którą zgłoszono, nadużywa alkoholu i są spełnione przesłanki społeczne, określone w art. 24 ustawy o wychowaniu w trzeźwości i</w:t>
      </w:r>
      <w:r w:rsidR="00D67A98">
        <w:rPr>
          <w:rFonts w:ascii="Times New Roman" w:hAnsi="Times New Roman" w:cs="Times New Roman"/>
          <w:sz w:val="24"/>
          <w:szCs w:val="24"/>
        </w:rPr>
        <w:t> </w:t>
      </w:r>
      <w:r>
        <w:rPr>
          <w:rFonts w:ascii="Times New Roman" w:hAnsi="Times New Roman" w:cs="Times New Roman"/>
          <w:sz w:val="24"/>
          <w:szCs w:val="24"/>
        </w:rPr>
        <w:t xml:space="preserve">przeciwdziałaniu alkoholizmowi, tj. dochodzi do  rozkładu życia rodzinnego lub demoralizacji małoletnich, uchylania się od zaspokajania potrzeb rodziny oraz systematycznego zakłócania spokoju lub porządku publicznego. </w:t>
      </w:r>
      <w:r w:rsidR="00D67A98">
        <w:rPr>
          <w:rFonts w:ascii="Times New Roman" w:hAnsi="Times New Roman" w:cs="Times New Roman"/>
          <w:sz w:val="24"/>
          <w:szCs w:val="24"/>
        </w:rPr>
        <w:t xml:space="preserve"> GKRPA powinna kontynuować dalsze działania wynikające z</w:t>
      </w:r>
      <w:r w:rsidR="00CC1B25">
        <w:rPr>
          <w:rFonts w:ascii="Times New Roman" w:hAnsi="Times New Roman" w:cs="Times New Roman"/>
          <w:sz w:val="24"/>
          <w:szCs w:val="24"/>
        </w:rPr>
        <w:t> </w:t>
      </w:r>
      <w:r w:rsidR="00D67A98">
        <w:rPr>
          <w:rFonts w:ascii="Times New Roman" w:hAnsi="Times New Roman" w:cs="Times New Roman"/>
          <w:sz w:val="24"/>
          <w:szCs w:val="24"/>
        </w:rPr>
        <w:t>ustawy i powinna skierować na badania przez biegłego w celi wydania opinii w</w:t>
      </w:r>
      <w:r w:rsidR="00CC1B25">
        <w:rPr>
          <w:rFonts w:ascii="Times New Roman" w:hAnsi="Times New Roman" w:cs="Times New Roman"/>
          <w:sz w:val="24"/>
          <w:szCs w:val="24"/>
        </w:rPr>
        <w:t> </w:t>
      </w:r>
      <w:r w:rsidR="00D67A98">
        <w:rPr>
          <w:rFonts w:ascii="Times New Roman" w:hAnsi="Times New Roman" w:cs="Times New Roman"/>
          <w:sz w:val="24"/>
          <w:szCs w:val="24"/>
        </w:rPr>
        <w:t xml:space="preserve">przedmiocie uzależnienia od alkoholu i wskazania rodzaju zakładu leczniczego. </w:t>
      </w:r>
    </w:p>
    <w:p w14:paraId="48D448B3" w14:textId="0FE2B65F" w:rsidR="00AD2337" w:rsidRDefault="00A54BF7" w:rsidP="00A54BF7">
      <w:pPr>
        <w:pStyle w:val="Akapitzlist"/>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w:t>
      </w:r>
      <w:r w:rsidR="00D67A98">
        <w:rPr>
          <w:rFonts w:ascii="Times New Roman" w:hAnsi="Times New Roman" w:cs="Times New Roman"/>
          <w:sz w:val="24"/>
          <w:szCs w:val="24"/>
        </w:rPr>
        <w:t xml:space="preserve">Natomiast w sytuacji, gdy z zawiadomienia </w:t>
      </w:r>
      <w:r w:rsidR="00D67A98" w:rsidRPr="00A54BF7">
        <w:rPr>
          <w:rFonts w:ascii="Times New Roman" w:hAnsi="Times New Roman" w:cs="Times New Roman"/>
          <w:b/>
          <w:bCs/>
          <w:sz w:val="24"/>
          <w:szCs w:val="24"/>
        </w:rPr>
        <w:t>nie wynika</w:t>
      </w:r>
      <w:r w:rsidR="00D67A98">
        <w:rPr>
          <w:rFonts w:ascii="Times New Roman" w:hAnsi="Times New Roman" w:cs="Times New Roman"/>
          <w:sz w:val="24"/>
          <w:szCs w:val="24"/>
        </w:rPr>
        <w:t>, że doszło do spełnienia przesłanej społecznych oraz przesłanki nadużywania alkoholu, a brak</w:t>
      </w:r>
      <w:r>
        <w:rPr>
          <w:rFonts w:ascii="Times New Roman" w:hAnsi="Times New Roman" w:cs="Times New Roman"/>
          <w:sz w:val="24"/>
          <w:szCs w:val="24"/>
        </w:rPr>
        <w:t xml:space="preserve"> jest</w:t>
      </w:r>
      <w:r w:rsidR="00D67A98">
        <w:rPr>
          <w:rFonts w:ascii="Times New Roman" w:hAnsi="Times New Roman" w:cs="Times New Roman"/>
          <w:sz w:val="24"/>
          <w:szCs w:val="24"/>
        </w:rPr>
        <w:t xml:space="preserve"> kontaktu z</w:t>
      </w:r>
      <w:r>
        <w:rPr>
          <w:rFonts w:ascii="Times New Roman" w:hAnsi="Times New Roman" w:cs="Times New Roman"/>
          <w:sz w:val="24"/>
          <w:szCs w:val="24"/>
        </w:rPr>
        <w:t> </w:t>
      </w:r>
      <w:r w:rsidR="00D67A98">
        <w:rPr>
          <w:rFonts w:ascii="Times New Roman" w:hAnsi="Times New Roman" w:cs="Times New Roman"/>
          <w:sz w:val="24"/>
          <w:szCs w:val="24"/>
        </w:rPr>
        <w:t>wnioskodawcą</w:t>
      </w:r>
      <w:r>
        <w:rPr>
          <w:rFonts w:ascii="Times New Roman" w:hAnsi="Times New Roman" w:cs="Times New Roman"/>
          <w:sz w:val="24"/>
          <w:szCs w:val="24"/>
        </w:rPr>
        <w:t xml:space="preserve"> i osobą zgłaszaną (co </w:t>
      </w:r>
      <w:r w:rsidR="00D67A98">
        <w:rPr>
          <w:rFonts w:ascii="Times New Roman" w:hAnsi="Times New Roman" w:cs="Times New Roman"/>
          <w:sz w:val="24"/>
          <w:szCs w:val="24"/>
        </w:rPr>
        <w:t>uniemożliwia przyjęcie odmiennej interpretacji</w:t>
      </w:r>
      <w:r>
        <w:rPr>
          <w:rFonts w:ascii="Times New Roman" w:hAnsi="Times New Roman" w:cs="Times New Roman"/>
          <w:sz w:val="24"/>
          <w:szCs w:val="24"/>
        </w:rPr>
        <w:t>)</w:t>
      </w:r>
      <w:r w:rsidR="00D67A98">
        <w:rPr>
          <w:rFonts w:ascii="Times New Roman" w:hAnsi="Times New Roman" w:cs="Times New Roman"/>
          <w:sz w:val="24"/>
          <w:szCs w:val="24"/>
        </w:rPr>
        <w:t xml:space="preserve">, wówczas rozważa się możliwość umorzenia postępowania. </w:t>
      </w:r>
    </w:p>
    <w:p w14:paraId="3FF4F5B3" w14:textId="077B0D51" w:rsidR="00D67A98" w:rsidRDefault="00D67A98" w:rsidP="00D12E2D">
      <w:pPr>
        <w:pStyle w:val="Akapitzlist"/>
        <w:numPr>
          <w:ilvl w:val="0"/>
          <w:numId w:val="8"/>
        </w:numPr>
        <w:ind w:left="360"/>
        <w:jc w:val="both"/>
        <w:rPr>
          <w:rFonts w:ascii="Times New Roman" w:hAnsi="Times New Roman" w:cs="Times New Roman"/>
          <w:sz w:val="24"/>
          <w:szCs w:val="24"/>
        </w:rPr>
      </w:pPr>
      <w:r w:rsidRPr="00A54BF7">
        <w:rPr>
          <w:rFonts w:ascii="Times New Roman" w:hAnsi="Times New Roman" w:cs="Times New Roman"/>
          <w:sz w:val="24"/>
          <w:szCs w:val="24"/>
          <w:u w:val="single"/>
        </w:rPr>
        <w:t>Złożenie wniosku o wszczęciu postępowania do sądu rejonowego</w:t>
      </w:r>
      <w:r>
        <w:rPr>
          <w:rFonts w:ascii="Times New Roman" w:hAnsi="Times New Roman" w:cs="Times New Roman"/>
          <w:sz w:val="24"/>
          <w:szCs w:val="24"/>
        </w:rPr>
        <w:t xml:space="preserve"> właściwego dla miejsca zamieszkania lub pobytu osoby, której postępowanie dotyczy. Charakter tego postępowania, skutek orzeczenia mogącego prowadzić do ograniczenia praw i wolności danej osoby oraz wskazanie </w:t>
      </w:r>
      <w:r w:rsidR="00D8748E">
        <w:rPr>
          <w:rFonts w:ascii="Times New Roman" w:hAnsi="Times New Roman" w:cs="Times New Roman"/>
          <w:sz w:val="24"/>
          <w:szCs w:val="24"/>
        </w:rPr>
        <w:t xml:space="preserve">niezwłoczności rozpoznania podkreślają konieczność dopełnienia wszystkich wymagań w składanym wniosku. </w:t>
      </w:r>
    </w:p>
    <w:p w14:paraId="2F124473" w14:textId="3523A4F9" w:rsidR="00D8748E" w:rsidRDefault="00D8748E" w:rsidP="00D12E2D">
      <w:pPr>
        <w:pStyle w:val="Akapitzlist"/>
        <w:ind w:left="1056"/>
        <w:jc w:val="both"/>
        <w:rPr>
          <w:rFonts w:ascii="Times New Roman" w:hAnsi="Times New Roman" w:cs="Times New Roman"/>
          <w:sz w:val="24"/>
          <w:szCs w:val="24"/>
        </w:rPr>
      </w:pPr>
    </w:p>
    <w:p w14:paraId="337CBD06" w14:textId="79E077D2" w:rsidR="00D8748E" w:rsidRDefault="00D8748E" w:rsidP="00D12E2D">
      <w:pPr>
        <w:pStyle w:val="Akapitzlist"/>
        <w:ind w:left="360" w:firstLine="696"/>
        <w:jc w:val="both"/>
        <w:rPr>
          <w:rFonts w:ascii="Times New Roman" w:hAnsi="Times New Roman" w:cs="Times New Roman"/>
          <w:sz w:val="24"/>
          <w:szCs w:val="24"/>
        </w:rPr>
      </w:pPr>
      <w:r>
        <w:rPr>
          <w:rFonts w:ascii="Times New Roman" w:hAnsi="Times New Roman" w:cs="Times New Roman"/>
          <w:sz w:val="24"/>
          <w:szCs w:val="24"/>
        </w:rPr>
        <w:t>Z punktu widzenia lecznictwa odwykowego uzależnienie jest przede wszystkim kategorią medyczną. Celem bezpośrednim placówek służby zdrowia nie jest naprawa rzeczywistości społecznej</w:t>
      </w:r>
      <w:r w:rsidR="006B680D">
        <w:rPr>
          <w:rFonts w:ascii="Times New Roman" w:hAnsi="Times New Roman" w:cs="Times New Roman"/>
          <w:sz w:val="24"/>
          <w:szCs w:val="24"/>
        </w:rPr>
        <w:t>, tylko leczenie uzależnienia.</w:t>
      </w:r>
    </w:p>
    <w:p w14:paraId="3361B79D" w14:textId="02F1761A" w:rsidR="006B680D" w:rsidRDefault="006B680D" w:rsidP="00D12E2D">
      <w:pPr>
        <w:pStyle w:val="Akapitzlist"/>
        <w:ind w:left="360"/>
        <w:jc w:val="both"/>
        <w:rPr>
          <w:rFonts w:ascii="Times New Roman" w:hAnsi="Times New Roman" w:cs="Times New Roman"/>
          <w:sz w:val="24"/>
          <w:szCs w:val="24"/>
        </w:rPr>
      </w:pPr>
      <w:r>
        <w:rPr>
          <w:rFonts w:ascii="Times New Roman" w:hAnsi="Times New Roman" w:cs="Times New Roman"/>
          <w:sz w:val="24"/>
          <w:szCs w:val="24"/>
        </w:rPr>
        <w:t xml:space="preserve">Do osób, które w wyniku długoletniego uzależnienia straciły zdolność samodzielnego życia i podejmowania decyzji, powinno się stosować przepisy ustawy o ochronie zdrowia psychicznego oraz pomocy społecznej. Osoba, która w wyniku psychodegradacji alkoholowej nie jest w stanie samodzielnie żyć, powinna być umieszczona w zakładzie opiekuńczo-leczniczym bądź w domu pomocy społecznej. Placówki leczenia odwykowego nie są przygotowane ani do leczenia, ani do opieki nad takimi chorymi. </w:t>
      </w:r>
    </w:p>
    <w:p w14:paraId="46D3B427" w14:textId="16BA95C0" w:rsidR="00D67A98" w:rsidRDefault="00E26834" w:rsidP="00D12E2D">
      <w:pPr>
        <w:pStyle w:val="Akapitzlist"/>
        <w:numPr>
          <w:ilvl w:val="0"/>
          <w:numId w:val="8"/>
        </w:numPr>
        <w:ind w:left="360"/>
        <w:jc w:val="both"/>
        <w:rPr>
          <w:rFonts w:ascii="Times New Roman" w:hAnsi="Times New Roman" w:cs="Times New Roman"/>
          <w:sz w:val="24"/>
          <w:szCs w:val="24"/>
        </w:rPr>
      </w:pPr>
      <w:r>
        <w:rPr>
          <w:rFonts w:ascii="Times New Roman" w:hAnsi="Times New Roman" w:cs="Times New Roman"/>
          <w:sz w:val="24"/>
          <w:szCs w:val="24"/>
        </w:rPr>
        <w:t>Gminna Komisja Rozwiązywania Problemów Alkoholowych ma uprawnienia do przetwarzania (w tym pozyskiwania) danych o stanie zdrowia pacjenta bez jego zgody, w</w:t>
      </w:r>
      <w:r w:rsidR="00CC1B25">
        <w:rPr>
          <w:rFonts w:ascii="Times New Roman" w:hAnsi="Times New Roman" w:cs="Times New Roman"/>
          <w:sz w:val="24"/>
          <w:szCs w:val="24"/>
        </w:rPr>
        <w:t> </w:t>
      </w:r>
      <w:r>
        <w:rPr>
          <w:rFonts w:ascii="Times New Roman" w:hAnsi="Times New Roman" w:cs="Times New Roman"/>
          <w:sz w:val="24"/>
          <w:szCs w:val="24"/>
        </w:rPr>
        <w:t xml:space="preserve">trakcie procedury prowadzącej do zobowiązania osoby do poddania się leczeniu. Nie może natomiast żądać od placówki odwykowej informacji o podjęciu leczenia przez pacjenta. </w:t>
      </w:r>
    </w:p>
    <w:p w14:paraId="3F4E4B56" w14:textId="3EE27A05" w:rsidR="00C95A1F" w:rsidRDefault="00C95A1F" w:rsidP="00D12E2D">
      <w:pPr>
        <w:pStyle w:val="Akapitzlist"/>
        <w:ind w:left="0"/>
        <w:jc w:val="both"/>
        <w:rPr>
          <w:rFonts w:ascii="Times New Roman" w:hAnsi="Times New Roman" w:cs="Times New Roman"/>
          <w:sz w:val="24"/>
          <w:szCs w:val="24"/>
        </w:rPr>
      </w:pPr>
    </w:p>
    <w:p w14:paraId="645A57B7" w14:textId="77777777" w:rsidR="00FB2DAD" w:rsidRDefault="00FB2DAD" w:rsidP="00D12E2D">
      <w:pPr>
        <w:pStyle w:val="Akapitzlist"/>
        <w:ind w:left="0"/>
        <w:jc w:val="both"/>
        <w:rPr>
          <w:rFonts w:ascii="Times New Roman" w:hAnsi="Times New Roman" w:cs="Times New Roman"/>
          <w:sz w:val="24"/>
          <w:szCs w:val="24"/>
        </w:rPr>
      </w:pPr>
    </w:p>
    <w:p w14:paraId="042AEBFB" w14:textId="1EC3659E" w:rsidR="001739EF" w:rsidRPr="00FA4FBC" w:rsidRDefault="003C7FC5" w:rsidP="00D12E2D">
      <w:pPr>
        <w:shd w:val="clear" w:color="auto" w:fill="FBFBFB"/>
        <w:spacing w:after="0" w:line="240" w:lineRule="auto"/>
        <w:jc w:val="center"/>
        <w:textAlignment w:val="baseline"/>
        <w:outlineLvl w:val="2"/>
        <w:rPr>
          <w:rFonts w:ascii="Times New Roman" w:eastAsia="Times New Roman" w:hAnsi="Times New Roman" w:cs="Times New Roman"/>
          <w:b/>
          <w:bCs/>
          <w:color w:val="0E1C3A"/>
          <w:sz w:val="24"/>
          <w:szCs w:val="24"/>
          <w:lang w:eastAsia="pl-PL"/>
        </w:rPr>
      </w:pPr>
      <w:r w:rsidRPr="00FA4FBC">
        <w:rPr>
          <w:rFonts w:ascii="Times New Roman" w:eastAsia="Times New Roman" w:hAnsi="Times New Roman" w:cs="Times New Roman"/>
          <w:color w:val="0E1C3A"/>
          <w:sz w:val="24"/>
          <w:szCs w:val="24"/>
          <w:lang w:eastAsia="pl-PL"/>
        </w:rPr>
        <w:lastRenderedPageBreak/>
        <w:t>Z</w:t>
      </w:r>
      <w:r w:rsidR="001739EF" w:rsidRPr="00FA4FBC">
        <w:rPr>
          <w:rFonts w:ascii="Times New Roman" w:eastAsia="Times New Roman" w:hAnsi="Times New Roman" w:cs="Times New Roman"/>
          <w:b/>
          <w:bCs/>
          <w:color w:val="0E1C3A"/>
          <w:sz w:val="24"/>
          <w:szCs w:val="24"/>
          <w:lang w:eastAsia="pl-PL"/>
        </w:rPr>
        <w:t>akończenie procedury zobowiązania do podjęcia leczenia odwykowego na etapie przed gminną komisją rozwiązywania problemów alkoholowych</w:t>
      </w:r>
    </w:p>
    <w:p w14:paraId="7DABA192" w14:textId="55A2DEEB" w:rsidR="001739EF" w:rsidRPr="003C7FC5" w:rsidRDefault="001739EF" w:rsidP="00D12E2D">
      <w:pPr>
        <w:shd w:val="clear" w:color="auto" w:fill="FBFBFB"/>
        <w:spacing w:before="300" w:after="300" w:line="240" w:lineRule="auto"/>
        <w:ind w:firstLine="708"/>
        <w:jc w:val="both"/>
        <w:textAlignment w:val="baseline"/>
        <w:rPr>
          <w:rFonts w:ascii="Times New Roman" w:eastAsia="Times New Roman" w:hAnsi="Times New Roman" w:cs="Times New Roman"/>
          <w:color w:val="0E1C3A"/>
          <w:sz w:val="24"/>
          <w:szCs w:val="24"/>
          <w:lang w:eastAsia="pl-PL"/>
        </w:rPr>
      </w:pPr>
      <w:r w:rsidRPr="00FA4FBC">
        <w:rPr>
          <w:rFonts w:ascii="Times New Roman" w:eastAsia="Times New Roman" w:hAnsi="Times New Roman" w:cs="Times New Roman"/>
          <w:color w:val="0E1C3A"/>
          <w:sz w:val="24"/>
          <w:szCs w:val="24"/>
          <w:lang w:eastAsia="pl-PL"/>
        </w:rPr>
        <w:t>Prowadzone przez gminne komisje rozwiązywania problemów</w:t>
      </w:r>
      <w:r w:rsidRPr="003C7FC5">
        <w:rPr>
          <w:rFonts w:ascii="Times New Roman" w:eastAsia="Times New Roman" w:hAnsi="Times New Roman" w:cs="Times New Roman"/>
          <w:color w:val="0E1C3A"/>
          <w:sz w:val="24"/>
          <w:szCs w:val="24"/>
          <w:lang w:eastAsia="pl-PL"/>
        </w:rPr>
        <w:t xml:space="preserve"> alkoholowych postępowanie w</w:t>
      </w:r>
      <w:r w:rsidR="00FA4FBC">
        <w:rPr>
          <w:rFonts w:ascii="Times New Roman" w:eastAsia="Times New Roman" w:hAnsi="Times New Roman" w:cs="Times New Roman"/>
          <w:color w:val="0E1C3A"/>
          <w:sz w:val="24"/>
          <w:szCs w:val="24"/>
          <w:lang w:eastAsia="pl-PL"/>
        </w:rPr>
        <w:t> </w:t>
      </w:r>
      <w:r w:rsidRPr="003C7FC5">
        <w:rPr>
          <w:rFonts w:ascii="Times New Roman" w:eastAsia="Times New Roman" w:hAnsi="Times New Roman" w:cs="Times New Roman"/>
          <w:color w:val="0E1C3A"/>
          <w:sz w:val="24"/>
          <w:szCs w:val="24"/>
          <w:lang w:eastAsia="pl-PL"/>
        </w:rPr>
        <w:t>przedmiocie zobowiązania do poddania się leczeniu odwykowemu nie podlega regulacjom kodeksu postępowania administracyjnego. Zatem wszelkie instytucje i rozwiązania wynikające z powyższych przepisów można stosować jedynie pomocniczo, aby usprawnić pracę komisji. Natomiast niezastosowanie powyższych rozwiązań nie będzie wiązało się z</w:t>
      </w:r>
      <w:r w:rsidR="00CC1B25">
        <w:rPr>
          <w:rFonts w:ascii="Times New Roman" w:eastAsia="Times New Roman" w:hAnsi="Times New Roman" w:cs="Times New Roman"/>
          <w:color w:val="0E1C3A"/>
          <w:sz w:val="24"/>
          <w:szCs w:val="24"/>
          <w:lang w:eastAsia="pl-PL"/>
        </w:rPr>
        <w:t> </w:t>
      </w:r>
      <w:r w:rsidRPr="003C7FC5">
        <w:rPr>
          <w:rFonts w:ascii="Times New Roman" w:eastAsia="Times New Roman" w:hAnsi="Times New Roman" w:cs="Times New Roman"/>
          <w:color w:val="0E1C3A"/>
          <w:sz w:val="24"/>
          <w:szCs w:val="24"/>
          <w:lang w:eastAsia="pl-PL"/>
        </w:rPr>
        <w:t>żadnymi konsekwencjami czy sankcjami. Wobec faktu, że nie ma obowiązku stosowania przepisów kodeksu postępowania administracyjnego (czy jakiejkolwiek innej procedury np. kpk czy kpc) do procedury zobowiązania do leczenia odwykowego na etapie przed gminną komisją także forma podejmowania decyzji nie jest określona.</w:t>
      </w:r>
    </w:p>
    <w:p w14:paraId="3C625061" w14:textId="36B429EF" w:rsidR="001739EF" w:rsidRPr="003C7FC5" w:rsidRDefault="001739EF" w:rsidP="003C7FC5">
      <w:pPr>
        <w:shd w:val="clear" w:color="auto" w:fill="FBFBFB"/>
        <w:spacing w:before="300" w:after="300" w:line="240" w:lineRule="auto"/>
        <w:jc w:val="both"/>
        <w:textAlignment w:val="baseline"/>
        <w:rPr>
          <w:rFonts w:ascii="Times New Roman" w:eastAsia="Times New Roman" w:hAnsi="Times New Roman" w:cs="Times New Roman"/>
          <w:color w:val="0E1C3A"/>
          <w:sz w:val="24"/>
          <w:szCs w:val="24"/>
          <w:lang w:eastAsia="pl-PL"/>
        </w:rPr>
      </w:pPr>
      <w:r w:rsidRPr="003C7FC5">
        <w:rPr>
          <w:rFonts w:ascii="Times New Roman" w:eastAsia="Times New Roman" w:hAnsi="Times New Roman" w:cs="Times New Roman"/>
          <w:color w:val="0E1C3A"/>
          <w:sz w:val="24"/>
          <w:szCs w:val="24"/>
          <w:lang w:eastAsia="pl-PL"/>
        </w:rPr>
        <w:t xml:space="preserve">W odpowiedzi na </w:t>
      </w:r>
      <w:proofErr w:type="gramStart"/>
      <w:r w:rsidRPr="003C7FC5">
        <w:rPr>
          <w:rFonts w:ascii="Times New Roman" w:eastAsia="Times New Roman" w:hAnsi="Times New Roman" w:cs="Times New Roman"/>
          <w:color w:val="0E1C3A"/>
          <w:sz w:val="24"/>
          <w:szCs w:val="24"/>
          <w:lang w:eastAsia="pl-PL"/>
        </w:rPr>
        <w:t>pytanie</w:t>
      </w:r>
      <w:proofErr w:type="gramEnd"/>
      <w:r w:rsidRPr="003C7FC5">
        <w:rPr>
          <w:rFonts w:ascii="Times New Roman" w:eastAsia="Times New Roman" w:hAnsi="Times New Roman" w:cs="Times New Roman"/>
          <w:color w:val="0E1C3A"/>
          <w:sz w:val="24"/>
          <w:szCs w:val="24"/>
          <w:lang w:eastAsia="pl-PL"/>
        </w:rPr>
        <w:t xml:space="preserve"> kiedy komisja może zakończyć procedurę zobowiązania do leczenia należy wskazać, </w:t>
      </w:r>
      <w:r w:rsidR="00FA4FBC">
        <w:rPr>
          <w:rFonts w:ascii="Times New Roman" w:eastAsia="Times New Roman" w:hAnsi="Times New Roman" w:cs="Times New Roman"/>
          <w:color w:val="0E1C3A"/>
          <w:sz w:val="24"/>
          <w:szCs w:val="24"/>
          <w:lang w:eastAsia="pl-PL"/>
        </w:rPr>
        <w:t>ż</w:t>
      </w:r>
      <w:r w:rsidRPr="003C7FC5">
        <w:rPr>
          <w:rFonts w:ascii="Times New Roman" w:eastAsia="Times New Roman" w:hAnsi="Times New Roman" w:cs="Times New Roman"/>
          <w:color w:val="0E1C3A"/>
          <w:sz w:val="24"/>
          <w:szCs w:val="24"/>
          <w:lang w:eastAsia="pl-PL"/>
        </w:rPr>
        <w:t>e będzie to miało miejsce, gdy w toku postępowania gminna komisja ustaliła przesłanki do leczenia odwykowego i złożyła wniosek do sądu o zobowiązanie do leczenia.</w:t>
      </w:r>
    </w:p>
    <w:p w14:paraId="22B27A46" w14:textId="22F8B461" w:rsidR="001739EF" w:rsidRPr="003C7FC5" w:rsidRDefault="001739EF" w:rsidP="003C7FC5">
      <w:pPr>
        <w:shd w:val="clear" w:color="auto" w:fill="FBFBFB"/>
        <w:spacing w:after="0" w:line="240" w:lineRule="auto"/>
        <w:jc w:val="both"/>
        <w:textAlignment w:val="baseline"/>
        <w:rPr>
          <w:rFonts w:ascii="Times New Roman" w:eastAsia="Times New Roman" w:hAnsi="Times New Roman" w:cs="Times New Roman"/>
          <w:color w:val="0E1C3A"/>
          <w:sz w:val="24"/>
          <w:szCs w:val="24"/>
          <w:lang w:eastAsia="pl-PL"/>
        </w:rPr>
      </w:pPr>
      <w:r w:rsidRPr="003C7FC5">
        <w:rPr>
          <w:rFonts w:ascii="Times New Roman" w:eastAsia="Times New Roman" w:hAnsi="Times New Roman" w:cs="Times New Roman"/>
          <w:color w:val="0E1C3A"/>
          <w:sz w:val="24"/>
          <w:szCs w:val="24"/>
          <w:lang w:eastAsia="pl-PL"/>
        </w:rPr>
        <w:t>Natomiast </w:t>
      </w:r>
      <w:r w:rsidRPr="003C7FC5">
        <w:rPr>
          <w:rFonts w:ascii="Times New Roman" w:eastAsia="Times New Roman" w:hAnsi="Times New Roman" w:cs="Times New Roman"/>
          <w:b/>
          <w:bCs/>
          <w:color w:val="0E1C3A"/>
          <w:sz w:val="24"/>
          <w:szCs w:val="24"/>
          <w:bdr w:val="none" w:sz="0" w:space="0" w:color="auto" w:frame="1"/>
          <w:lang w:eastAsia="pl-PL"/>
        </w:rPr>
        <w:t>odpowiednikiem zakończenia postępowania w formie instytucji tożsamej z</w:t>
      </w:r>
      <w:r w:rsidR="003C7FC5">
        <w:rPr>
          <w:rFonts w:ascii="Times New Roman" w:eastAsia="Times New Roman" w:hAnsi="Times New Roman" w:cs="Times New Roman"/>
          <w:b/>
          <w:bCs/>
          <w:color w:val="0E1C3A"/>
          <w:sz w:val="24"/>
          <w:szCs w:val="24"/>
          <w:bdr w:val="none" w:sz="0" w:space="0" w:color="auto" w:frame="1"/>
          <w:lang w:eastAsia="pl-PL"/>
        </w:rPr>
        <w:t> </w:t>
      </w:r>
      <w:r w:rsidRPr="003C7FC5">
        <w:rPr>
          <w:rFonts w:ascii="Times New Roman" w:eastAsia="Times New Roman" w:hAnsi="Times New Roman" w:cs="Times New Roman"/>
          <w:b/>
          <w:bCs/>
          <w:color w:val="0E1C3A"/>
          <w:sz w:val="24"/>
          <w:szCs w:val="24"/>
          <w:bdr w:val="none" w:sz="0" w:space="0" w:color="auto" w:frame="1"/>
          <w:lang w:eastAsia="pl-PL"/>
        </w:rPr>
        <w:t>umorzeniem postępowania</w:t>
      </w:r>
      <w:r w:rsidRPr="003C7FC5">
        <w:rPr>
          <w:rFonts w:ascii="Times New Roman" w:eastAsia="Times New Roman" w:hAnsi="Times New Roman" w:cs="Times New Roman"/>
          <w:color w:val="0E1C3A"/>
          <w:sz w:val="24"/>
          <w:szCs w:val="24"/>
          <w:lang w:eastAsia="pl-PL"/>
        </w:rPr>
        <w:t> będą m.in. następujące sytuacje:</w:t>
      </w:r>
    </w:p>
    <w:p w14:paraId="34098B86" w14:textId="01CB0634" w:rsidR="001739EF" w:rsidRPr="003C7FC5" w:rsidRDefault="001739EF" w:rsidP="003C7FC5">
      <w:pPr>
        <w:shd w:val="clear" w:color="auto" w:fill="FBFBFB"/>
        <w:spacing w:before="300" w:after="300" w:line="240" w:lineRule="auto"/>
        <w:textAlignment w:val="baseline"/>
        <w:rPr>
          <w:rFonts w:ascii="Times New Roman" w:eastAsia="Times New Roman" w:hAnsi="Times New Roman" w:cs="Times New Roman"/>
          <w:color w:val="0E1C3A"/>
          <w:sz w:val="24"/>
          <w:szCs w:val="24"/>
          <w:lang w:eastAsia="pl-PL"/>
        </w:rPr>
      </w:pPr>
      <w:r w:rsidRPr="003C7FC5">
        <w:rPr>
          <w:rFonts w:ascii="Times New Roman" w:eastAsia="Times New Roman" w:hAnsi="Times New Roman" w:cs="Times New Roman"/>
          <w:color w:val="0E1C3A"/>
          <w:sz w:val="24"/>
          <w:szCs w:val="24"/>
          <w:lang w:eastAsia="pl-PL"/>
        </w:rPr>
        <w:t>1</w:t>
      </w:r>
      <w:r w:rsidR="00D12E2D">
        <w:rPr>
          <w:rFonts w:ascii="Times New Roman" w:eastAsia="Times New Roman" w:hAnsi="Times New Roman" w:cs="Times New Roman"/>
          <w:color w:val="0E1C3A"/>
          <w:sz w:val="24"/>
          <w:szCs w:val="24"/>
          <w:lang w:eastAsia="pl-PL"/>
        </w:rPr>
        <w:t>.</w:t>
      </w:r>
      <w:r w:rsidRPr="003C7FC5">
        <w:rPr>
          <w:rFonts w:ascii="Times New Roman" w:eastAsia="Times New Roman" w:hAnsi="Times New Roman" w:cs="Times New Roman"/>
          <w:color w:val="0E1C3A"/>
          <w:sz w:val="24"/>
          <w:szCs w:val="24"/>
          <w:lang w:eastAsia="pl-PL"/>
        </w:rPr>
        <w:t xml:space="preserve"> </w:t>
      </w:r>
      <w:r w:rsidR="00D12E2D">
        <w:rPr>
          <w:rFonts w:ascii="Times New Roman" w:eastAsia="Times New Roman" w:hAnsi="Times New Roman" w:cs="Times New Roman"/>
          <w:color w:val="0E1C3A"/>
          <w:sz w:val="24"/>
          <w:szCs w:val="24"/>
          <w:lang w:eastAsia="pl-PL"/>
        </w:rPr>
        <w:t>G</w:t>
      </w:r>
      <w:r w:rsidRPr="003C7FC5">
        <w:rPr>
          <w:rFonts w:ascii="Times New Roman" w:eastAsia="Times New Roman" w:hAnsi="Times New Roman" w:cs="Times New Roman"/>
          <w:color w:val="0E1C3A"/>
          <w:sz w:val="24"/>
          <w:szCs w:val="24"/>
          <w:lang w:eastAsia="pl-PL"/>
        </w:rPr>
        <w:t>dy w toku postępowania okazało się, że nie występują łącznie dwie przesłanki konieczne do złożenia wniosku do sądu (brak uzależnienia – np. w sytuacji, gdy biegły stwierdził „jedynie” picie szkodliwe, ale nie zdiagnozował uzależnienia od alkoholu, albo brak przesłanki „społecznej”, o której mowa w art. 24 ustawy np. gdy osobą uzależnioną jest samotny emeryt, który nie zakłóca swoim zachowaniem spokoju lub porządku publicznego);</w:t>
      </w:r>
      <w:r w:rsidRPr="003C7FC5">
        <w:rPr>
          <w:rFonts w:ascii="Times New Roman" w:eastAsia="Times New Roman" w:hAnsi="Times New Roman" w:cs="Times New Roman"/>
          <w:color w:val="0E1C3A"/>
          <w:sz w:val="24"/>
          <w:szCs w:val="24"/>
          <w:lang w:eastAsia="pl-PL"/>
        </w:rPr>
        <w:br/>
        <w:t>2</w:t>
      </w:r>
      <w:r w:rsidR="00D12E2D">
        <w:rPr>
          <w:rFonts w:ascii="Times New Roman" w:eastAsia="Times New Roman" w:hAnsi="Times New Roman" w:cs="Times New Roman"/>
          <w:color w:val="0E1C3A"/>
          <w:sz w:val="24"/>
          <w:szCs w:val="24"/>
          <w:lang w:eastAsia="pl-PL"/>
        </w:rPr>
        <w:t>. G</w:t>
      </w:r>
      <w:r w:rsidRPr="003C7FC5">
        <w:rPr>
          <w:rFonts w:ascii="Times New Roman" w:eastAsia="Times New Roman" w:hAnsi="Times New Roman" w:cs="Times New Roman"/>
          <w:color w:val="0E1C3A"/>
          <w:sz w:val="24"/>
          <w:szCs w:val="24"/>
          <w:lang w:eastAsia="pl-PL"/>
        </w:rPr>
        <w:t>dy osoba, której postępowanie dotyczy – np. w wyniku przeprowadzonej rozmowy motywacyjnej – dobrowolnie odbyła i ukończyła leczenie odwykowe;</w:t>
      </w:r>
      <w:r w:rsidRPr="003C7FC5">
        <w:rPr>
          <w:rFonts w:ascii="Times New Roman" w:eastAsia="Times New Roman" w:hAnsi="Times New Roman" w:cs="Times New Roman"/>
          <w:color w:val="0E1C3A"/>
          <w:sz w:val="24"/>
          <w:szCs w:val="24"/>
          <w:lang w:eastAsia="pl-PL"/>
        </w:rPr>
        <w:br/>
        <w:t>3</w:t>
      </w:r>
      <w:r w:rsidR="00D12E2D">
        <w:rPr>
          <w:rFonts w:ascii="Times New Roman" w:eastAsia="Times New Roman" w:hAnsi="Times New Roman" w:cs="Times New Roman"/>
          <w:color w:val="0E1C3A"/>
          <w:sz w:val="24"/>
          <w:szCs w:val="24"/>
          <w:lang w:eastAsia="pl-PL"/>
        </w:rPr>
        <w:t>. A</w:t>
      </w:r>
      <w:r w:rsidRPr="003C7FC5">
        <w:rPr>
          <w:rFonts w:ascii="Times New Roman" w:eastAsia="Times New Roman" w:hAnsi="Times New Roman" w:cs="Times New Roman"/>
          <w:color w:val="0E1C3A"/>
          <w:sz w:val="24"/>
          <w:szCs w:val="24"/>
          <w:lang w:eastAsia="pl-PL"/>
        </w:rPr>
        <w:t>lbo gdy – w toku procedury – osoba, której postępowanie dotyczy zmieniła miejsce zamieszkania (i obecnie zamieszkuje na terenie innej gminy) albo nie można ustalić jej miejsca zamieszkania bądź pobytu;</w:t>
      </w:r>
      <w:r w:rsidRPr="003C7FC5">
        <w:rPr>
          <w:rFonts w:ascii="Times New Roman" w:eastAsia="Times New Roman" w:hAnsi="Times New Roman" w:cs="Times New Roman"/>
          <w:color w:val="0E1C3A"/>
          <w:sz w:val="24"/>
          <w:szCs w:val="24"/>
          <w:lang w:eastAsia="pl-PL"/>
        </w:rPr>
        <w:br/>
      </w:r>
      <w:r w:rsidR="0011079C">
        <w:rPr>
          <w:rFonts w:ascii="Times New Roman" w:eastAsia="Times New Roman" w:hAnsi="Times New Roman" w:cs="Times New Roman"/>
          <w:color w:val="0E1C3A"/>
          <w:sz w:val="24"/>
          <w:szCs w:val="24"/>
          <w:lang w:eastAsia="pl-PL"/>
        </w:rPr>
        <w:t>- o</w:t>
      </w:r>
      <w:r w:rsidRPr="003C7FC5">
        <w:rPr>
          <w:rFonts w:ascii="Times New Roman" w:eastAsia="Times New Roman" w:hAnsi="Times New Roman" w:cs="Times New Roman"/>
          <w:color w:val="0E1C3A"/>
          <w:sz w:val="24"/>
          <w:szCs w:val="24"/>
          <w:lang w:eastAsia="pl-PL"/>
        </w:rPr>
        <w:t>soba, której postępowanie dotyczy zmarła lub</w:t>
      </w:r>
      <w:r w:rsidRPr="003C7FC5">
        <w:rPr>
          <w:rFonts w:ascii="Times New Roman" w:eastAsia="Times New Roman" w:hAnsi="Times New Roman" w:cs="Times New Roman"/>
          <w:color w:val="0E1C3A"/>
          <w:sz w:val="24"/>
          <w:szCs w:val="24"/>
          <w:lang w:eastAsia="pl-PL"/>
        </w:rPr>
        <w:br/>
      </w:r>
      <w:r w:rsidR="0011079C">
        <w:rPr>
          <w:rFonts w:ascii="Times New Roman" w:eastAsia="Times New Roman" w:hAnsi="Times New Roman" w:cs="Times New Roman"/>
          <w:color w:val="0E1C3A"/>
          <w:sz w:val="24"/>
          <w:szCs w:val="24"/>
          <w:lang w:eastAsia="pl-PL"/>
        </w:rPr>
        <w:t>- z</w:t>
      </w:r>
      <w:r w:rsidRPr="003C7FC5">
        <w:rPr>
          <w:rFonts w:ascii="Times New Roman" w:eastAsia="Times New Roman" w:hAnsi="Times New Roman" w:cs="Times New Roman"/>
          <w:color w:val="0E1C3A"/>
          <w:sz w:val="24"/>
          <w:szCs w:val="24"/>
          <w:lang w:eastAsia="pl-PL"/>
        </w:rPr>
        <w:t>ostała ubezwłasnowolniona całkowicie.</w:t>
      </w:r>
    </w:p>
    <w:p w14:paraId="2D1D9BB2" w14:textId="77777777" w:rsidR="003C7FC5" w:rsidRDefault="003C7FC5" w:rsidP="003C7FC5">
      <w:pPr>
        <w:pStyle w:val="Akapitzlist"/>
        <w:jc w:val="center"/>
        <w:rPr>
          <w:rFonts w:ascii="Times New Roman" w:hAnsi="Times New Roman" w:cs="Times New Roman"/>
          <w:b/>
          <w:bCs/>
          <w:sz w:val="24"/>
          <w:szCs w:val="24"/>
        </w:rPr>
      </w:pPr>
    </w:p>
    <w:p w14:paraId="63EACBFC" w14:textId="77777777" w:rsidR="003C7FC5" w:rsidRDefault="003C7FC5" w:rsidP="003C7FC5">
      <w:pPr>
        <w:pStyle w:val="Akapitzlist"/>
        <w:jc w:val="center"/>
        <w:rPr>
          <w:rFonts w:ascii="Times New Roman" w:hAnsi="Times New Roman" w:cs="Times New Roman"/>
          <w:b/>
          <w:bCs/>
          <w:sz w:val="24"/>
          <w:szCs w:val="24"/>
        </w:rPr>
      </w:pPr>
      <w:r>
        <w:rPr>
          <w:rFonts w:ascii="Times New Roman" w:hAnsi="Times New Roman" w:cs="Times New Roman"/>
          <w:b/>
          <w:bCs/>
          <w:sz w:val="24"/>
          <w:szCs w:val="24"/>
        </w:rPr>
        <w:t>Kontrola rynku alkoholowego</w:t>
      </w:r>
    </w:p>
    <w:p w14:paraId="4321FB6E" w14:textId="77777777" w:rsidR="00177A04" w:rsidRPr="00B429B7" w:rsidRDefault="00177A04" w:rsidP="00B429B7">
      <w:pPr>
        <w:jc w:val="both"/>
        <w:rPr>
          <w:rFonts w:ascii="Times New Roman" w:hAnsi="Times New Roman" w:cs="Times New Roman"/>
          <w:sz w:val="24"/>
          <w:szCs w:val="24"/>
        </w:rPr>
      </w:pPr>
      <w:r w:rsidRPr="00B429B7">
        <w:rPr>
          <w:rFonts w:ascii="Times New Roman" w:hAnsi="Times New Roman" w:cs="Times New Roman"/>
          <w:sz w:val="24"/>
          <w:szCs w:val="24"/>
        </w:rPr>
        <w:t xml:space="preserve">Zezwolenia na </w:t>
      </w:r>
      <w:proofErr w:type="gramStart"/>
      <w:r w:rsidRPr="00B429B7">
        <w:rPr>
          <w:rFonts w:ascii="Times New Roman" w:hAnsi="Times New Roman" w:cs="Times New Roman"/>
          <w:sz w:val="24"/>
          <w:szCs w:val="24"/>
        </w:rPr>
        <w:t>sprzedaż  napojów</w:t>
      </w:r>
      <w:proofErr w:type="gramEnd"/>
      <w:r w:rsidRPr="00B429B7">
        <w:rPr>
          <w:rFonts w:ascii="Times New Roman" w:hAnsi="Times New Roman" w:cs="Times New Roman"/>
          <w:sz w:val="24"/>
          <w:szCs w:val="24"/>
        </w:rPr>
        <w:t xml:space="preserve"> alkoholowych przeznaczonych do spożycia w miejscu lub poza miejscem sprzedaży może być prowadzona tylko na podstawie zezwolenia wydanego przez wójta (burmistrza, prezydenta miasta), właściwego ze względu na lokalizację punku sprzedaży, zwanego dalej „organem zezwalającym”.</w:t>
      </w:r>
    </w:p>
    <w:p w14:paraId="3B4FF4DA" w14:textId="22D8E432" w:rsidR="00177A04" w:rsidRDefault="00177A04" w:rsidP="00B429B7">
      <w:pPr>
        <w:pStyle w:val="Akapitzlist"/>
        <w:ind w:left="0"/>
        <w:jc w:val="both"/>
        <w:rPr>
          <w:rFonts w:ascii="Times New Roman" w:hAnsi="Times New Roman" w:cs="Times New Roman"/>
          <w:sz w:val="24"/>
          <w:szCs w:val="24"/>
        </w:rPr>
      </w:pPr>
      <w:r>
        <w:rPr>
          <w:rFonts w:ascii="Times New Roman" w:hAnsi="Times New Roman" w:cs="Times New Roman"/>
          <w:sz w:val="24"/>
          <w:szCs w:val="24"/>
        </w:rPr>
        <w:t>Zezwolenia, o</w:t>
      </w:r>
      <w:r w:rsidR="00B429B7">
        <w:rPr>
          <w:rFonts w:ascii="Times New Roman" w:hAnsi="Times New Roman" w:cs="Times New Roman"/>
          <w:sz w:val="24"/>
          <w:szCs w:val="24"/>
        </w:rPr>
        <w:t>rgan</w:t>
      </w:r>
      <w:r>
        <w:rPr>
          <w:rFonts w:ascii="Times New Roman" w:hAnsi="Times New Roman" w:cs="Times New Roman"/>
          <w:sz w:val="24"/>
          <w:szCs w:val="24"/>
        </w:rPr>
        <w:t xml:space="preserve"> zezwalający wydaje po uzyskaniu pozytywnej opinii gminnej komisji rozwiązywania problemów alkoholowych o zgodności lokalizacji punktu sprzedaży z</w:t>
      </w:r>
      <w:r w:rsidR="00B429B7">
        <w:rPr>
          <w:rFonts w:ascii="Times New Roman" w:hAnsi="Times New Roman" w:cs="Times New Roman"/>
          <w:sz w:val="24"/>
          <w:szCs w:val="24"/>
        </w:rPr>
        <w:t> </w:t>
      </w:r>
      <w:r>
        <w:rPr>
          <w:rFonts w:ascii="Times New Roman" w:hAnsi="Times New Roman" w:cs="Times New Roman"/>
          <w:sz w:val="24"/>
          <w:szCs w:val="24"/>
        </w:rPr>
        <w:t>uchwałami rady gminy.</w:t>
      </w:r>
    </w:p>
    <w:p w14:paraId="2C22067D" w14:textId="78E3F2ED" w:rsidR="00933D48" w:rsidRPr="00B429B7" w:rsidRDefault="00B429B7" w:rsidP="00B429B7">
      <w:pPr>
        <w:jc w:val="both"/>
        <w:rPr>
          <w:rFonts w:ascii="Times New Roman" w:hAnsi="Times New Roman" w:cs="Times New Roman"/>
          <w:sz w:val="24"/>
          <w:szCs w:val="24"/>
        </w:rPr>
      </w:pPr>
      <w:r>
        <w:rPr>
          <w:rFonts w:ascii="Times New Roman" w:hAnsi="Times New Roman" w:cs="Times New Roman"/>
          <w:sz w:val="24"/>
          <w:szCs w:val="24"/>
        </w:rPr>
        <w:t xml:space="preserve">    </w:t>
      </w:r>
      <w:r w:rsidRPr="00B429B7">
        <w:rPr>
          <w:rFonts w:ascii="Times New Roman" w:hAnsi="Times New Roman" w:cs="Times New Roman"/>
          <w:sz w:val="24"/>
          <w:szCs w:val="24"/>
        </w:rPr>
        <w:t xml:space="preserve"> Organ zezwalający lub na podstawie jego upoważnienia, c</w:t>
      </w:r>
      <w:r w:rsidR="00933D48" w:rsidRPr="00B429B7">
        <w:rPr>
          <w:rFonts w:ascii="Times New Roman" w:hAnsi="Times New Roman" w:cs="Times New Roman"/>
          <w:sz w:val="24"/>
          <w:szCs w:val="24"/>
        </w:rPr>
        <w:t xml:space="preserve">złonkowie GKRPA dokonują </w:t>
      </w:r>
      <w:r>
        <w:rPr>
          <w:rFonts w:ascii="Times New Roman" w:hAnsi="Times New Roman" w:cs="Times New Roman"/>
          <w:sz w:val="24"/>
          <w:szCs w:val="24"/>
        </w:rPr>
        <w:t xml:space="preserve">     </w:t>
      </w:r>
      <w:r w:rsidR="00933D48" w:rsidRPr="00B429B7">
        <w:rPr>
          <w:rFonts w:ascii="Times New Roman" w:hAnsi="Times New Roman" w:cs="Times New Roman"/>
          <w:sz w:val="24"/>
          <w:szCs w:val="24"/>
        </w:rPr>
        <w:t>kontroli przestrzegania zasad i warunków korzystania z zezwolenia.</w:t>
      </w:r>
    </w:p>
    <w:sectPr w:rsidR="00933D48" w:rsidRPr="00B42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E1C"/>
    <w:multiLevelType w:val="hybridMultilevel"/>
    <w:tmpl w:val="BF105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344752"/>
    <w:multiLevelType w:val="hybridMultilevel"/>
    <w:tmpl w:val="D632C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2228E2"/>
    <w:multiLevelType w:val="hybridMultilevel"/>
    <w:tmpl w:val="47F295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740228"/>
    <w:multiLevelType w:val="hybridMultilevel"/>
    <w:tmpl w:val="D460FB52"/>
    <w:lvl w:ilvl="0" w:tplc="A2901FCE">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131F8"/>
    <w:multiLevelType w:val="hybridMultilevel"/>
    <w:tmpl w:val="DFFA3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0C715E"/>
    <w:multiLevelType w:val="hybridMultilevel"/>
    <w:tmpl w:val="56F08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8F61C3"/>
    <w:multiLevelType w:val="hybridMultilevel"/>
    <w:tmpl w:val="F43E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6919EC"/>
    <w:multiLevelType w:val="hybridMultilevel"/>
    <w:tmpl w:val="A9B655DE"/>
    <w:lvl w:ilvl="0" w:tplc="E1D65B28">
      <w:start w:val="1"/>
      <w:numFmt w:val="decimal"/>
      <w:lvlText w:val="%1."/>
      <w:lvlJc w:val="left"/>
      <w:pPr>
        <w:ind w:left="1080"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9EE383B"/>
    <w:multiLevelType w:val="hybridMultilevel"/>
    <w:tmpl w:val="A4AA7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4269C6"/>
    <w:multiLevelType w:val="multilevel"/>
    <w:tmpl w:val="45C296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F010F38"/>
    <w:multiLevelType w:val="hybridMultilevel"/>
    <w:tmpl w:val="A8B83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3868005">
    <w:abstractNumId w:val="2"/>
  </w:num>
  <w:num w:numId="2" w16cid:durableId="1322349191">
    <w:abstractNumId w:val="7"/>
  </w:num>
  <w:num w:numId="3" w16cid:durableId="65156527">
    <w:abstractNumId w:val="5"/>
  </w:num>
  <w:num w:numId="4" w16cid:durableId="800195859">
    <w:abstractNumId w:val="1"/>
  </w:num>
  <w:num w:numId="5" w16cid:durableId="1099524021">
    <w:abstractNumId w:val="3"/>
  </w:num>
  <w:num w:numId="6" w16cid:durableId="36703928">
    <w:abstractNumId w:val="0"/>
  </w:num>
  <w:num w:numId="7" w16cid:durableId="408574129">
    <w:abstractNumId w:val="8"/>
  </w:num>
  <w:num w:numId="8" w16cid:durableId="427697266">
    <w:abstractNumId w:val="4"/>
  </w:num>
  <w:num w:numId="9" w16cid:durableId="1188788230">
    <w:abstractNumId w:val="9"/>
  </w:num>
  <w:num w:numId="10" w16cid:durableId="1685595774">
    <w:abstractNumId w:val="6"/>
  </w:num>
  <w:num w:numId="11" w16cid:durableId="1248421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22"/>
    <w:rsid w:val="000811A0"/>
    <w:rsid w:val="00095414"/>
    <w:rsid w:val="000D6445"/>
    <w:rsid w:val="000F653C"/>
    <w:rsid w:val="0011079C"/>
    <w:rsid w:val="001272E8"/>
    <w:rsid w:val="00145B7E"/>
    <w:rsid w:val="001739EF"/>
    <w:rsid w:val="00177A04"/>
    <w:rsid w:val="002B1456"/>
    <w:rsid w:val="0031724D"/>
    <w:rsid w:val="00341B73"/>
    <w:rsid w:val="003B2D38"/>
    <w:rsid w:val="003C7FC5"/>
    <w:rsid w:val="004C5E22"/>
    <w:rsid w:val="005071AB"/>
    <w:rsid w:val="005348B0"/>
    <w:rsid w:val="0054078D"/>
    <w:rsid w:val="005A3EB4"/>
    <w:rsid w:val="00685D5A"/>
    <w:rsid w:val="006B680D"/>
    <w:rsid w:val="006C3230"/>
    <w:rsid w:val="007142FF"/>
    <w:rsid w:val="00741947"/>
    <w:rsid w:val="00817AEF"/>
    <w:rsid w:val="00817C79"/>
    <w:rsid w:val="008B45AA"/>
    <w:rsid w:val="00926C17"/>
    <w:rsid w:val="00933D48"/>
    <w:rsid w:val="00943E85"/>
    <w:rsid w:val="009C5D67"/>
    <w:rsid w:val="009F0B22"/>
    <w:rsid w:val="00A54BF7"/>
    <w:rsid w:val="00AD2337"/>
    <w:rsid w:val="00B429B7"/>
    <w:rsid w:val="00B448B0"/>
    <w:rsid w:val="00B92CA9"/>
    <w:rsid w:val="00C10859"/>
    <w:rsid w:val="00C260B5"/>
    <w:rsid w:val="00C95A1F"/>
    <w:rsid w:val="00CA085B"/>
    <w:rsid w:val="00CC1B25"/>
    <w:rsid w:val="00D068F5"/>
    <w:rsid w:val="00D12E2D"/>
    <w:rsid w:val="00D32A3A"/>
    <w:rsid w:val="00D67A98"/>
    <w:rsid w:val="00D8748E"/>
    <w:rsid w:val="00D950BC"/>
    <w:rsid w:val="00DA1641"/>
    <w:rsid w:val="00E00E32"/>
    <w:rsid w:val="00E26834"/>
    <w:rsid w:val="00EA12CF"/>
    <w:rsid w:val="00EC39E7"/>
    <w:rsid w:val="00EE0768"/>
    <w:rsid w:val="00F52A07"/>
    <w:rsid w:val="00FA4FBC"/>
    <w:rsid w:val="00FB2DAD"/>
    <w:rsid w:val="00FC3E65"/>
    <w:rsid w:val="00FD5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A25B"/>
  <w15:chartTrackingRefBased/>
  <w15:docId w15:val="{236B4044-240D-432D-8898-E573B53D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60B5"/>
    <w:pPr>
      <w:ind w:left="720"/>
      <w:contextualSpacing/>
    </w:pPr>
  </w:style>
  <w:style w:type="character" w:styleId="Odwoaniedokomentarza">
    <w:name w:val="annotation reference"/>
    <w:basedOn w:val="Domylnaczcionkaakapitu"/>
    <w:uiPriority w:val="99"/>
    <w:semiHidden/>
    <w:unhideWhenUsed/>
    <w:rsid w:val="003C7FC5"/>
    <w:rPr>
      <w:sz w:val="16"/>
      <w:szCs w:val="16"/>
    </w:rPr>
  </w:style>
  <w:style w:type="paragraph" w:styleId="Tekstkomentarza">
    <w:name w:val="annotation text"/>
    <w:basedOn w:val="Normalny"/>
    <w:link w:val="TekstkomentarzaZnak"/>
    <w:uiPriority w:val="99"/>
    <w:semiHidden/>
    <w:unhideWhenUsed/>
    <w:rsid w:val="003C7F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7FC5"/>
    <w:rPr>
      <w:sz w:val="20"/>
      <w:szCs w:val="20"/>
    </w:rPr>
  </w:style>
  <w:style w:type="paragraph" w:styleId="Tematkomentarza">
    <w:name w:val="annotation subject"/>
    <w:basedOn w:val="Tekstkomentarza"/>
    <w:next w:val="Tekstkomentarza"/>
    <w:link w:val="TematkomentarzaZnak"/>
    <w:uiPriority w:val="99"/>
    <w:semiHidden/>
    <w:unhideWhenUsed/>
    <w:rsid w:val="003C7FC5"/>
    <w:rPr>
      <w:b/>
      <w:bCs/>
    </w:rPr>
  </w:style>
  <w:style w:type="character" w:customStyle="1" w:styleId="TematkomentarzaZnak">
    <w:name w:val="Temat komentarza Znak"/>
    <w:basedOn w:val="TekstkomentarzaZnak"/>
    <w:link w:val="Tematkomentarza"/>
    <w:uiPriority w:val="99"/>
    <w:semiHidden/>
    <w:rsid w:val="003C7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81517">
      <w:bodyDiv w:val="1"/>
      <w:marLeft w:val="0"/>
      <w:marRight w:val="0"/>
      <w:marTop w:val="0"/>
      <w:marBottom w:val="0"/>
      <w:divBdr>
        <w:top w:val="none" w:sz="0" w:space="0" w:color="auto"/>
        <w:left w:val="none" w:sz="0" w:space="0" w:color="auto"/>
        <w:bottom w:val="none" w:sz="0" w:space="0" w:color="auto"/>
        <w:right w:val="none" w:sz="0" w:space="0" w:color="auto"/>
      </w:divBdr>
      <w:divsChild>
        <w:div w:id="1415518639">
          <w:marLeft w:val="0"/>
          <w:marRight w:val="0"/>
          <w:marTop w:val="0"/>
          <w:marBottom w:val="0"/>
          <w:divBdr>
            <w:top w:val="none" w:sz="0" w:space="0" w:color="auto"/>
            <w:left w:val="none" w:sz="0" w:space="0" w:color="auto"/>
            <w:bottom w:val="none" w:sz="0" w:space="0" w:color="auto"/>
            <w:right w:val="none" w:sz="0" w:space="0" w:color="auto"/>
          </w:divBdr>
        </w:div>
      </w:divsChild>
    </w:div>
    <w:div w:id="1704747927">
      <w:bodyDiv w:val="1"/>
      <w:marLeft w:val="0"/>
      <w:marRight w:val="0"/>
      <w:marTop w:val="0"/>
      <w:marBottom w:val="0"/>
      <w:divBdr>
        <w:top w:val="none" w:sz="0" w:space="0" w:color="auto"/>
        <w:left w:val="none" w:sz="0" w:space="0" w:color="auto"/>
        <w:bottom w:val="none" w:sz="0" w:space="0" w:color="auto"/>
        <w:right w:val="none" w:sz="0" w:space="0" w:color="auto"/>
      </w:divBdr>
      <w:divsChild>
        <w:div w:id="2052611341">
          <w:marLeft w:val="0"/>
          <w:marRight w:val="0"/>
          <w:marTop w:val="0"/>
          <w:marBottom w:val="0"/>
          <w:divBdr>
            <w:top w:val="none" w:sz="0" w:space="0" w:color="auto"/>
            <w:left w:val="none" w:sz="0" w:space="0" w:color="auto"/>
            <w:bottom w:val="none" w:sz="0" w:space="0" w:color="auto"/>
            <w:right w:val="none" w:sz="0" w:space="0" w:color="auto"/>
          </w:divBdr>
        </w:div>
      </w:divsChild>
    </w:div>
    <w:div w:id="1819876309">
      <w:bodyDiv w:val="1"/>
      <w:marLeft w:val="0"/>
      <w:marRight w:val="0"/>
      <w:marTop w:val="0"/>
      <w:marBottom w:val="0"/>
      <w:divBdr>
        <w:top w:val="none" w:sz="0" w:space="0" w:color="auto"/>
        <w:left w:val="none" w:sz="0" w:space="0" w:color="auto"/>
        <w:bottom w:val="none" w:sz="0" w:space="0" w:color="auto"/>
        <w:right w:val="none" w:sz="0" w:space="0" w:color="auto"/>
      </w:divBdr>
      <w:divsChild>
        <w:div w:id="1662615383">
          <w:marLeft w:val="0"/>
          <w:marRight w:val="0"/>
          <w:marTop w:val="0"/>
          <w:marBottom w:val="0"/>
          <w:divBdr>
            <w:top w:val="none" w:sz="0" w:space="0" w:color="auto"/>
            <w:left w:val="none" w:sz="0" w:space="0" w:color="auto"/>
            <w:bottom w:val="none" w:sz="0" w:space="0" w:color="auto"/>
            <w:right w:val="none" w:sz="0" w:space="0" w:color="auto"/>
          </w:divBdr>
        </w:div>
      </w:divsChild>
    </w:div>
    <w:div w:id="20544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FBF15-FB70-4476-81D6-3F9C3C55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7</Pages>
  <Words>2951</Words>
  <Characters>17712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luban</dc:creator>
  <cp:keywords/>
  <dc:description/>
  <cp:lastModifiedBy>a.kroczynska</cp:lastModifiedBy>
  <cp:revision>32</cp:revision>
  <cp:lastPrinted>2026-04-21T10:45:00Z</cp:lastPrinted>
  <dcterms:created xsi:type="dcterms:W3CDTF">2023-03-16T13:08:00Z</dcterms:created>
  <dcterms:modified xsi:type="dcterms:W3CDTF">2026-05-12T06:55:00Z</dcterms:modified>
</cp:coreProperties>
</file>